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 </w:t>
      </w:r>
      <w:r/>
    </w:p>
    <w:p>
      <w:pPr>
        <w:ind w:left="0" w:right="0" w:firstLine="0"/>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   竞争性磋商文件</w:t>
      </w:r>
      <w:r/>
    </w:p>
    <w:p>
      <w:pPr>
        <w:ind w:left="0" w:right="0" w:firstLine="2249"/>
        <w:jc w:val="center"/>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jc w:val="center"/>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highlight w:val="none"/>
        </w:rPr>
      </w:r>
      <w:r>
        <w:rPr>
          <w:rFonts w:ascii="Times New Roman" w:hAnsi="Times New Roman" w:eastAsia="Times New Roman" w:cs="Times New Roman"/>
          <w:color w:val="000000"/>
          <w:sz w:val="20"/>
          <w:highlight w:val="none"/>
        </w:rPr>
      </w:r>
      <w:r/>
    </w:p>
    <w:p>
      <w:pPr>
        <w:ind w:left="0" w:right="0" w:firstLine="2249"/>
        <w:jc w:val="center"/>
        <w:spacing w:before="120" w:after="120" w:line="360" w:lineRule="auto"/>
        <w:shd w:val="clear" w:color="ffffff" w:fill="ffffff"/>
        <w:rPr>
          <w:rFonts w:ascii="Times New Roman" w:hAnsi="Times New Roman" w:eastAsia="Times New Roman" w:cs="Times New Roman"/>
          <w:color w:val="000000"/>
          <w:sz w:val="20"/>
          <w:szCs w:val="20"/>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highlight w:val="none"/>
        </w:rPr>
      </w:r>
      <w:r>
        <w:rPr>
          <w:rFonts w:ascii="Times New Roman" w:hAnsi="Times New Roman" w:eastAsia="Times New Roman" w:cs="Times New Roman"/>
          <w:color w:val="000000"/>
          <w:sz w:val="20"/>
          <w:highlight w:val="none"/>
        </w:rPr>
      </w:r>
      <w:r/>
    </w:p>
    <w:p>
      <w:pPr>
        <w:ind w:left="0" w:right="0" w:firstLine="2249"/>
        <w:jc w:val="center"/>
        <w:spacing w:before="120" w:after="120" w:line="360" w:lineRule="auto"/>
        <w:shd w:val="clear" w:color="ffffff" w:fill="ffffff"/>
        <w:rPr>
          <w:rFonts w:ascii="Times New Roman" w:hAnsi="Times New Roman" w:eastAsia="Times New Roman" w:cs="Times New Roman"/>
          <w:color w:val="000000"/>
          <w:sz w:val="20"/>
          <w:szCs w:val="20"/>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2249"/>
        <w:jc w:val="center"/>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2249"/>
        <w:jc w:val="center"/>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2249"/>
        <w:jc w:val="center"/>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项目名称：</w:t>
      </w:r>
      <w:r>
        <w:rPr>
          <w:rFonts w:ascii="SimSun" w:hAnsi="SimSun" w:eastAsia="SimSun" w:cs="SimSun"/>
          <w:b/>
          <w:color w:val="000000"/>
          <w:sz w:val="32"/>
          <w:u w:val="single"/>
        </w:rPr>
        <w:t xml:space="preserve">泰州市海陵区司法局矫正人员监管平台建设项目</w:t>
      </w:r>
      <w:r/>
    </w:p>
    <w:p>
      <w:pPr>
        <w:ind w:left="0" w:right="0" w:firstLine="0"/>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项目编号：</w:t>
      </w:r>
      <w:r>
        <w:rPr>
          <w:rFonts w:ascii="SimSun" w:hAnsi="SimSun" w:eastAsia="SimSun" w:cs="SimSun"/>
          <w:b/>
          <w:color w:val="000000"/>
          <w:sz w:val="32"/>
          <w:u w:val="single"/>
        </w:rPr>
        <w:t xml:space="preserve">JSZC-321202-JZCG-C2025-0033 </w:t>
      </w:r>
      <w:r>
        <w:rPr>
          <w:rFonts w:ascii="SimSun" w:hAnsi="SimSun" w:eastAsia="SimSun" w:cs="SimSun"/>
          <w:b/>
          <w:color w:val="000000"/>
          <w:sz w:val="32"/>
        </w:rPr>
        <w:t xml:space="preserve">   </w:t>
      </w:r>
      <w:r>
        <w:rPr>
          <w:rFonts w:ascii="Arial" w:hAnsi="Arial" w:eastAsia="Arial" w:cs="Arial"/>
          <w:b/>
          <w:color w:val="000000"/>
          <w:sz w:val="32"/>
        </w:rPr>
        <w:t xml:space="preserve">          </w:t>
      </w:r>
      <w:r/>
    </w:p>
    <w:p>
      <w:pPr>
        <w:ind w:left="0" w:right="0" w:firstLine="1470"/>
        <w:jc w:val="center"/>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Times New Roman" w:hAnsi="Times New Roman" w:eastAsia="Times New Roman" w:cs="Times New Roman"/>
          <w:b/>
          <w:color w:val="000000"/>
          <w:sz w:val="30"/>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0"/>
        <w:jc w:val="center"/>
        <w:spacing w:before="0" w:after="0" w:line="360" w:lineRule="auto"/>
        <w:shd w:val="clear" w:color="ffffff" w:fill="ffffff"/>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0"/>
        <w:jc w:val="center"/>
        <w:spacing w:before="0" w:after="0" w:line="360" w:lineRule="auto"/>
        <w:shd w:val="clear" w:color="ffffff" w:fill="ffffff"/>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rPr>
          <w:rFonts w:ascii="SimSun" w:hAnsi="SimSun" w:eastAsia="SimSun" w:cs="SimSun"/>
          <w:color w:val="000000"/>
          <w:sz w:val="24"/>
        </w:rPr>
      </w:r>
      <w:r/>
    </w:p>
    <w:p>
      <w:pPr>
        <w:ind w:left="0" w:right="0" w:firstLine="0"/>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泰州市海陵区政务服务中心</w:t>
      </w:r>
      <w:r/>
    </w:p>
    <w:p>
      <w:pPr>
        <w:ind w:left="0" w:right="0" w:firstLine="0"/>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rPr>
          <w:rFonts w:ascii="Arial" w:hAnsi="Arial" w:eastAsia="Arial" w:cs="Arial"/>
          <w:color w:val="000000"/>
          <w:sz w:val="32"/>
        </w:rPr>
        <w:t xml:space="preserve">2025</w:t>
      </w:r>
      <w:r>
        <w:rPr>
          <w:rFonts w:ascii="SimSun" w:hAnsi="SimSun" w:eastAsia="SimSun" w:cs="SimSun"/>
          <w:b/>
          <w:color w:val="000000"/>
          <w:sz w:val="32"/>
        </w:rPr>
        <w:t xml:space="preserve">年11</w:t>
      </w:r>
      <w:r>
        <w:rPr>
          <w:rFonts w:ascii="SimSun" w:hAnsi="SimSun" w:eastAsia="SimSun" w:cs="SimSun"/>
          <w:b/>
          <w:color w:val="000000"/>
          <w:sz w:val="32"/>
        </w:rPr>
        <w:t xml:space="preserve">月13日</w:t>
        <w:br w:type="page" w:clear="all"/>
      </w:r>
      <w:r/>
    </w:p>
    <w:p>
      <w:pPr>
        <w:ind w:left="0" w:right="0" w:firstLine="0"/>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总  目  录</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
        </w:numPr>
        <w:jc w:val="both"/>
        <w:spacing w:before="0" w:after="0" w:line="360" w:lineRule="auto"/>
        <w:shd w:val="clear" w:color="ffffff" w:fill="ffffff"/>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磋商邀请…………………………………… </w:t>
      </w:r>
      <w:r/>
    </w:p>
    <w:p>
      <w:pPr>
        <w:numPr>
          <w:ilvl w:val="0"/>
          <w:numId w:val="1"/>
        </w:numPr>
        <w:jc w:val="both"/>
        <w:spacing w:before="0" w:after="0" w:line="360" w:lineRule="auto"/>
        <w:shd w:val="clear" w:color="ffffff" w:fill="ffffff"/>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供应商须知…………………………………  </w:t>
      </w:r>
      <w:r/>
    </w:p>
    <w:p>
      <w:pPr>
        <w:numPr>
          <w:ilvl w:val="0"/>
          <w:numId w:val="1"/>
        </w:numPr>
        <w:jc w:val="both"/>
        <w:spacing w:before="0" w:after="0" w:line="360" w:lineRule="auto"/>
        <w:shd w:val="clear" w:color="ffffff" w:fill="ffffff"/>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1"/>
        </w:numPr>
        <w:jc w:val="both"/>
        <w:spacing w:before="0" w:after="0" w:line="360" w:lineRule="auto"/>
        <w:shd w:val="clear" w:color="ffffff" w:fill="ffffff"/>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1"/>
        </w:numPr>
        <w:jc w:val="both"/>
        <w:spacing w:before="0" w:after="0" w:line="360" w:lineRule="auto"/>
        <w:shd w:val="clear" w:color="ffffff" w:fill="ffffff"/>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评审方法与评审标准………………………</w:t>
      </w:r>
      <w:r/>
    </w:p>
    <w:p>
      <w:pPr>
        <w:numPr>
          <w:ilvl w:val="0"/>
          <w:numId w:val="1"/>
        </w:numPr>
        <w:jc w:val="both"/>
        <w:spacing w:before="0" w:after="0" w:line="360" w:lineRule="auto"/>
        <w:shd w:val="clear" w:color="ffffff" w:fill="ffffff"/>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响应文件格式………………………………</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br w:type="page" w:clear="all"/>
      </w:r>
      <w:r>
        <w:rPr>
          <w:rFonts w:ascii="SimHei" w:hAnsi="SimHei" w:eastAsia="SimHei" w:cs="SimHei"/>
          <w:color w:val="000000"/>
          <w:sz w:val="44"/>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  磋商邀请</w:t>
      </w:r>
      <w:r/>
    </w:p>
    <w:p>
      <w:pPr>
        <w:ind w:left="0" w:right="0" w:firstLine="480"/>
        <w:jc w:val="both"/>
        <w:spacing w:before="0" w:after="0" w:line="360" w:lineRule="auto"/>
        <w:shd w:val="clear" w:color="ffffff" w:fill="ffffff"/>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 </w:t>
      </w:r>
      <w:r>
        <w:rPr>
          <w:rFonts w:ascii="SimSun" w:hAnsi="SimSun" w:eastAsia="SimSun" w:cs="SimSun"/>
          <w:color w:val="000000"/>
          <w:sz w:val="24"/>
          <w:szCs w:val="24"/>
        </w:rPr>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受[泰州市海陵区司法局行政]的委托，泰州市海陵区政务服务中心就[</w:t>
      </w:r>
      <w:r>
        <w:rPr>
          <w:rFonts w:ascii="SimSun" w:hAnsi="SimSun" w:eastAsia="SimSun" w:cs="SimSun"/>
          <w:color w:val="000000"/>
          <w:sz w:val="24"/>
          <w:szCs w:val="24"/>
        </w:rPr>
        <w:t xml:space="preserve">泰州市海陵区司法局矫正人员监管平台建设项目</w:t>
      </w:r>
      <w:r>
        <w:rPr>
          <w:rFonts w:ascii="SimSun" w:hAnsi="SimSun" w:eastAsia="SimSun" w:cs="SimSun"/>
          <w:color w:val="000000"/>
          <w:sz w:val="24"/>
          <w:szCs w:val="24"/>
        </w:rPr>
        <w:t xml:space="preserve">]([JSZC-321202-JZCG-C2025-0033])进行竞争性磋商采购，欢迎符合条件的供应商参加磋商。</w:t>
      </w:r>
      <w:r/>
    </w:p>
    <w:p>
      <w:pPr>
        <w:ind w:left="0" w:right="0" w:firstLine="480"/>
        <w:jc w:val="both"/>
        <w:spacing w:before="0" w:after="0" w:line="360" w:lineRule="auto"/>
        <w:shd w:val="clear" w:color="ffffff" w:fill="ffffff"/>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360" w:lineRule="auto"/>
        <w:shd w:val="clear" w:color="ffffff" w:fill="ffffff"/>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szCs w:val="24"/>
          <w:u w:val="single"/>
        </w:rPr>
        <w:t xml:space="preserve"> (</w:t>
      </w:r>
      <w:r>
        <w:rPr>
          <w:rFonts w:ascii="SimSun" w:hAnsi="SimSun" w:eastAsia="SimSun" w:cs="SimSun"/>
          <w:color w:val="000000"/>
          <w:sz w:val="24"/>
          <w:szCs w:val="24"/>
          <w:u w:val="single"/>
        </w:rPr>
        <w:t xml:space="preserve">泰州市海陵区司法局矫正人员监管平台建设项目</w:t>
      </w:r>
      <w:r>
        <w:rPr>
          <w:rFonts w:ascii="SimSun" w:hAnsi="SimSun" w:eastAsia="SimSun" w:cs="SimSun"/>
          <w:color w:val="000000"/>
          <w:sz w:val="24"/>
          <w:szCs w:val="24"/>
          <w:u w:val="single"/>
        </w:rPr>
        <w:t xml:space="preserve">)</w:t>
      </w:r>
      <w:r>
        <w:rPr>
          <w:rFonts w:ascii="SimSun" w:hAnsi="SimSun" w:eastAsia="SimSun" w:cs="SimSun"/>
          <w:color w:val="000000"/>
          <w:sz w:val="24"/>
        </w:rPr>
        <w:t xml:space="preserve">竞争性磋商项目的潜在供应商可在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磋商文件，并于</w:t>
      </w:r>
      <w:r>
        <w:rPr>
          <w:rFonts w:ascii="SimSun" w:hAnsi="SimSun" w:eastAsia="SimSun" w:cs="SimSun"/>
          <w:color w:val="000000"/>
          <w:sz w:val="24"/>
          <w:u w:val="single"/>
        </w:rPr>
        <w:t xml:space="preserve"> 2025年11月24日14点30分（</w:t>
      </w:r>
      <w:r>
        <w:rPr>
          <w:rFonts w:ascii="SimSun" w:hAnsi="SimSun" w:eastAsia="SimSun" w:cs="SimSun"/>
          <w:color w:val="000000"/>
          <w:sz w:val="24"/>
        </w:rPr>
        <w:t xml:space="preserve">北京时间）前递交响应文件。</w:t>
      </w:r>
      <w:r/>
    </w:p>
    <w:p>
      <w:pPr>
        <w:ind w:left="0" w:right="0" w:firstLine="498"/>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1.项目编号：JSZC-321202-JZCG-C2025-0033</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2.项目名称：泰州市海陵区司法局矫正人员监管平台建设项目</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3.预算金额：30万元。</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简介）：开发矫正智慧管理系统，通过大数据、物联网等先进技术，将传统人工管理中的信息采集、行为监控、电话抽查等繁琐工作实现智能化处理，借助自动化流程与智能分析功能，快速高效完成风险预警等工作，极大减少人工管理工作量，降低脱管漏管风险，推动社区矫正管理工作提质增效。（详细内容见本磋商文件第四章）</w:t>
      </w:r>
      <w:r/>
    </w:p>
    <w:p>
      <w:pPr>
        <w:ind w:left="0" w:right="0" w:firstLine="480"/>
        <w:jc w:val="both"/>
        <w:spacing w:before="0" w:after="0" w:line="360" w:lineRule="auto"/>
        <w:shd w:val="clear" w:color="ffffff" w:fill="ffffff"/>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5.合同履行期限：</w:t>
      </w:r>
      <w:r>
        <w:rPr>
          <w:rFonts w:ascii="SimSun" w:hAnsi="SimSun" w:eastAsia="SimSun" w:cs="SimSun"/>
          <w:color w:val="000000"/>
          <w:sz w:val="24"/>
          <w:szCs w:val="24"/>
        </w:rPr>
        <w:t xml:space="preserve">自合同签订之日起15个工作日内完成开发、部署、集成和测试等工作，进入试运行阶段。</w:t>
      </w:r>
      <w:r>
        <w:rPr>
          <w:rFonts w:ascii="SimSun" w:hAnsi="SimSun" w:eastAsia="SimSun" w:cs="SimSun"/>
          <w:color w:val="000000"/>
          <w:sz w:val="24"/>
          <w:szCs w:val="24"/>
        </w:rPr>
      </w:r>
      <w:r/>
    </w:p>
    <w:p>
      <w:pPr>
        <w:ind w:left="0" w:right="0" w:firstLine="498"/>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1.2上一年度的财务状况报告（成立不满一年无需提供）；</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4.联合体参与磋商：本项目不接受联合体参与磋商。</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本项目无特定资格要求。</w:t>
      </w:r>
      <w:r/>
    </w:p>
    <w:p>
      <w:pPr>
        <w:ind w:left="0" w:right="0" w:firstLine="498"/>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三、获取磋商文件</w:t>
      </w:r>
      <w:r/>
    </w:p>
    <w:p>
      <w:pPr>
        <w:ind w:left="0" w:right="0" w:firstLine="54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1.时间：自磋商文件公告发布之日起至提交响应文件截止之日止。</w:t>
      </w:r>
      <w:r/>
    </w:p>
    <w:p>
      <w:pPr>
        <w:ind w:left="0" w:right="0" w:firstLine="54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2.方式：在“江苏政府采购网”自行免费下载磋商文件。</w:t>
      </w:r>
      <w:r/>
    </w:p>
    <w:p>
      <w:pPr>
        <w:ind w:left="0" w:right="0" w:firstLine="498"/>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四、提交响应文件截止时间</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1.2025年11月24日14点30分</w:t>
      </w:r>
      <w:r>
        <w:rPr>
          <w:rFonts w:ascii="SimSun" w:hAnsi="SimSun" w:eastAsia="SimSun" w:cs="SimSun"/>
          <w:color w:val="000000"/>
          <w:sz w:val="24"/>
        </w:rPr>
        <w:t xml:space="preserve">（北京时间）。</w:t>
      </w:r>
      <w:r/>
    </w:p>
    <w:p>
      <w:pPr>
        <w:ind w:left="0" w:right="0" w:firstLine="498"/>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磋商公告及磋商文件公告期限为自本公告发布之日起3个工作日。</w:t>
      </w:r>
      <w:r/>
    </w:p>
    <w:p>
      <w:pPr>
        <w:ind w:left="0" w:right="0" w:firstLine="498"/>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技术支持电话：0523-87633965、0523-86897512</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客服QQ：709339244、1195486789 </w:t>
      </w:r>
      <w:r/>
    </w:p>
    <w:p>
      <w:pPr>
        <w:ind w:left="0" w:right="0" w:firstLine="498"/>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七、本次磋商联系方式</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1.采购人信息</w:t>
      </w:r>
      <w:r/>
    </w:p>
    <w:p>
      <w:pPr>
        <w:ind w:left="300" w:right="0" w:hanging="30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名 称：</w:t>
      </w:r>
      <w:r>
        <w:rPr>
          <w:rFonts w:ascii="SimSun" w:hAnsi="SimSun" w:eastAsia="SimSun" w:cs="SimSun"/>
          <w:color w:val="000000"/>
          <w:sz w:val="24"/>
          <w:u w:val="single"/>
        </w:rPr>
        <w:t xml:space="preserve">泰州市海陵区司法局行政</w:t>
      </w:r>
      <w:r/>
    </w:p>
    <w:p>
      <w:pPr>
        <w:ind w:left="300" w:right="0" w:hanging="300"/>
        <w:spacing w:before="0" w:after="0" w:line="360" w:lineRule="auto"/>
        <w:shd w:val="clear" w:color="ffffff" w:fill="ffffff"/>
        <w:rPr>
          <w:rFonts w:ascii="SimSun" w:hAnsi="SimSun" w:eastAsia="SimSun" w:cs="SimSun"/>
          <w:color w:val="000000"/>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w:t>
      </w:r>
      <w:r>
        <w:rPr>
          <w:rFonts w:ascii="SimSun" w:hAnsi="SimSun" w:eastAsia="SimSun" w:cs="SimSun"/>
          <w:color w:val="000000"/>
          <w:sz w:val="24"/>
          <w:szCs w:val="24"/>
          <w:u w:val="single"/>
        </w:rPr>
        <w:t xml:space="preserve">泰州市海陵区青年南路92号</w:t>
      </w:r>
      <w:r>
        <w:rPr>
          <w:rFonts w:ascii="SimSun" w:hAnsi="SimSun" w:eastAsia="SimSun" w:cs="SimSun"/>
          <w:color w:val="000000"/>
          <w:sz w:val="24"/>
          <w:szCs w:val="24"/>
          <w:u w:val="single"/>
        </w:rPr>
      </w:r>
      <w:r/>
    </w:p>
    <w:p>
      <w:pPr>
        <w:ind w:left="300" w:right="0" w:hanging="30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联系人：</w:t>
      </w:r>
      <w:r>
        <w:rPr>
          <w:rFonts w:ascii="SimSun" w:hAnsi="SimSun" w:eastAsia="SimSun" w:cs="SimSun"/>
          <w:color w:val="000000"/>
          <w:sz w:val="24"/>
          <w:u w:val="single"/>
        </w:rPr>
        <w:t xml:space="preserve">燕女士</w:t>
      </w:r>
      <w:r/>
    </w:p>
    <w:p>
      <w:pPr>
        <w:ind w:left="300" w:right="0" w:hanging="30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联系方式：</w:t>
      </w:r>
      <w:r>
        <w:rPr>
          <w:rFonts w:ascii="SimSun" w:hAnsi="SimSun" w:eastAsia="SimSun" w:cs="SimSun"/>
          <w:color w:val="000000"/>
          <w:sz w:val="24"/>
          <w:u w:val="single"/>
        </w:rPr>
        <w:t xml:space="preserve">0523-86225473</w:t>
      </w:r>
      <w:r/>
    </w:p>
    <w:p>
      <w:pPr>
        <w:ind w:left="300" w:right="0" w:hanging="30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2.泰州市海陵区政务服务中心信息</w:t>
      </w:r>
      <w:r/>
    </w:p>
    <w:p>
      <w:pPr>
        <w:ind w:left="0" w:right="0" w:firstLine="7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泰州市海陵区沈毅中学（海陵区政务服务中心临时办事点）</w:t>
      </w:r>
      <w:r/>
    </w:p>
    <w:p>
      <w:pPr>
        <w:ind w:left="0" w:right="0" w:firstLine="7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阚女士       </w:t>
      </w:r>
      <w:r/>
    </w:p>
    <w:p>
      <w:pPr>
        <w:ind w:left="0" w:right="0" w:firstLine="7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0523-86242503</w:t>
      </w:r>
      <w:r/>
    </w:p>
    <w:p>
      <w:pPr>
        <w:ind w:left="0" w:right="0" w:firstLine="498"/>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八、其他</w:t>
      </w:r>
      <w:r/>
    </w:p>
    <w:p>
      <w:pPr>
        <w:ind w:left="0" w:right="0" w:firstLine="480"/>
        <w:jc w:val="both"/>
        <w:spacing w:before="0" w:after="0"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根据省财政厅《关于更换全省政府采购交易系统C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w:t>
      </w:r>
      <w:r>
        <w:rPr>
          <w:rFonts w:ascii="SimSun" w:hAnsi="SimSun" w:eastAsia="SimSun" w:cs="SimSun"/>
          <w:color w:val="000000"/>
          <w:sz w:val="24"/>
        </w:rPr>
        <w:t xml:space="preserve">633ce9.html。</w:t>
      </w:r>
      <w:r/>
    </w:p>
    <w:p>
      <w:pPr>
        <w:ind w:left="0" w:right="0" w:firstLine="482"/>
        <w:jc w:val="both"/>
        <w:spacing w:before="0" w:after="0"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泰州市高港区泰州大道388号（原中国医药城会展服务中心W3馆西南角）公共资源服务中心一楼大厅6号窗口办理，具体联系方式见《苏采云系统供应商操作手册》（以下简称《操作手册》））、进行注册并按《操作手册》要求制作、上传电子响应文件。</w:t>
      </w:r>
      <w:r/>
    </w:p>
    <w:p>
      <w:pPr>
        <w:ind w:left="0" w:right="0" w:firstLine="480"/>
        <w:jc w:val="both"/>
        <w:spacing w:before="0" w:after="0"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有关本次磋商的事项若存在变动或修改，敬请及时关注泰州市海陵区政务服务中心在“江苏政府采购网”发布的更正公告。</w:t>
      </w:r>
      <w:r/>
    </w:p>
    <w:p>
      <w:pPr>
        <w:ind w:left="0" w:right="0" w:firstLine="480"/>
        <w:jc w:val="both"/>
        <w:spacing w:before="0" w:after="0"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本次磋商不收取磋商保证金。</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  供应商须知</w:t>
      </w:r>
      <w:r/>
    </w:p>
    <w:p>
      <w:pPr>
        <w:ind w:left="0" w:right="0" w:firstLine="498"/>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Hei" w:hAnsi="SimHei" w:eastAsia="SimHei" w:cs="SimHei"/>
          <w:color w:val="000000"/>
          <w:sz w:val="28"/>
        </w:rPr>
        <w:t xml:space="preserve">、采购方式</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本次政府采购活动采取竞争性磋商(以下简称磋商)方式，本磋商文件仅适用于磋商公告中所述项目。</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Hei" w:hAnsi="SimHei" w:eastAsia="SimHei" w:cs="SimHei"/>
          <w:color w:val="000000"/>
          <w:sz w:val="28"/>
        </w:rPr>
        <w:t xml:space="preserve">、合格的供应商</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2.1满足磋商公告中供应商资格要求的规定。</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满足本磋商文件实质性要求的规定。</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w:t>
      </w:r>
      <w:r>
        <w:rPr>
          <w:rFonts w:ascii="SimHei" w:hAnsi="SimHei" w:eastAsia="SimHei" w:cs="SimHei"/>
          <w:color w:val="000000"/>
          <w:sz w:val="28"/>
        </w:rPr>
        <w:t xml:space="preserve">、适用法律</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本次磋商及由此产生的合同受中华人民共和国有关的法律法规制约和保护。</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Hei" w:hAnsi="SimHei" w:eastAsia="SimHei" w:cs="SimHei"/>
          <w:color w:val="000000"/>
          <w:sz w:val="28"/>
        </w:rPr>
        <w:t xml:space="preserve">、磋商费用</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4.1供应商应自行承担所有与参加本次磋商有关的费用，无论磋商过程中的做法和结果如何，泰州市海陵区政务服务中心（以下简称服务中心）在任何情况下均无义务和责任承担这些费用。</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4.2本次磋商服务中心和采购人不收取标书工本费与成交服务费。</w:t>
      </w:r>
      <w:r/>
    </w:p>
    <w:p>
      <w:pPr>
        <w:ind w:left="0" w:right="0" w:firstLine="301"/>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磋商文件的约束力</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5.1供应商一旦参加本项目采购活动，即被认为接受了本磋商文件的规定和约束。</w:t>
      </w:r>
      <w:r/>
    </w:p>
    <w:p>
      <w:pPr>
        <w:ind w:left="0" w:right="0" w:firstLine="321"/>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二、磋商文件</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Hei" w:hAnsi="SimHei" w:eastAsia="SimHei" w:cs="SimHei"/>
          <w:color w:val="000000"/>
          <w:sz w:val="28"/>
        </w:rPr>
        <w:t xml:space="preserve">、磋商文件构成</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6.1磋商文件由以下部分组成：</w:t>
      </w:r>
      <w:r/>
    </w:p>
    <w:p>
      <w:pPr>
        <w:ind w:left="0" w:right="0" w:firstLine="36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（1）磋商邀请</w:t>
      </w:r>
      <w:r/>
    </w:p>
    <w:p>
      <w:pPr>
        <w:ind w:left="0" w:right="0" w:firstLine="36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36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（5）评审方法与评审标准</w:t>
      </w:r>
      <w:r/>
    </w:p>
    <w:p>
      <w:pPr>
        <w:ind w:left="0" w:right="0" w:firstLine="36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（6）响应文件格式</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请仔细检查磋商文件是否齐全，如有缺漏请立即与服务中心联系解决。</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56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、磋商文件的澄清</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任何要求对磋商文件进行澄清的供应商，应在磋商截止期5日前按磋商公告中的通讯地址，以书面形式通知服务中心。</w:t>
      </w:r>
      <w:r/>
    </w:p>
    <w:p>
      <w:pPr>
        <w:ind w:left="0" w:right="0" w:firstLine="56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、磋商文件的澄清和修改</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在响应文件提交截止时间前，服务中心可以对磋商文件进行澄清和修改,</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澄清或者修改的内容作为磋商文件的组成部分。澄清或者修改的内容可能影响响应文件编制的，服务中心将在提交首次响应文件截止时间至少5日前，在“江苏政府采购网”上发布书面更正公告形式通知所有获取磋商文件的供应商,</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更正公告内容将作为磋商文件的组成部分，并对供应商具有约束力。不足5日的，服务中心将顺延提交首次响应文件截止时间。</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8.2服务中心可以视采购项目的具体情况，组织供应商进行现场考察或召开磋商前答疑会，但不单独或分别组织只有一个供应商参加的现场考察和答疑会。</w:t>
      </w:r>
      <w:r/>
    </w:p>
    <w:p>
      <w:pPr>
        <w:ind w:left="0" w:right="0" w:firstLine="482"/>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三、响应文件的编制</w:t>
      </w:r>
      <w:r/>
    </w:p>
    <w:p>
      <w:pPr>
        <w:ind w:left="0" w:right="0" w:firstLine="56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、响应文件的语言及度量衡单位</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9.1供应商提交的响应文件以及供应商与服务中心就有关磋商的所有来往通知、函件和文件均应使用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除技术性能另有规定外，响应文件所使用的度量衡单位，均须采用国家法定计量单位。</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Hei" w:hAnsi="SimHei" w:eastAsia="SimHei" w:cs="SimHei"/>
          <w:color w:val="000000"/>
          <w:sz w:val="28"/>
        </w:rPr>
        <w:t xml:space="preserve">、响应文件构成</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10.1供应商编写的响应文件应包括资格证明文件、实质性要求响应及偏离表、分项报价表、技术要求响应及偏离表、商务要求响应及偏离表、其他证明文件、磋商响应函等部分。</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如标书制作工具中格式和内容与“江苏政府采购网”发布的磋商文件不一致，请以“江苏政府采购网”发布的磋商文件为准。</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、证明磋商响应标的符合磋商文件规定的文件</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11.1供应商应按照磋商文件要求提交证明文件，证明其及磋商响应标的符合磋商文件规定。</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11.2磋商文件对证明文件无明确形式要求的，证明文件可以以文字资料、图纸和数据等形式提交。</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、分项报价表</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12.1供应商应按照磋商文件规定格式填报分项报价表。</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12.2磋商货币。响应文件中的单价和总价无特殊规定的采用人民币报价，以元为单位标注。磋商文件中另有规定的按规定执行。</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13.1供应商需对磋商文件中的技术要求与商务要求逐项作出响应或偏离，并说明原因。</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13.2供应商需按照磋商文件要求，在响应文件中提供与技术要求和商务要求相关的证明材料。</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、服务承诺、培训计划、人员安排及其他</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14.1供应商需根据磋商文件要求提供有关售后服务的管理制度，售后服务机构的分布情况，售后服务人员的数量、素质、技术水平及售后服务的反应能力等。</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14.2供应商需根据磋商文件要求提供培训计划。</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14.3供应商需根据磋商文件要求提供磋商响应标的的主要组成部分、功能设计、实现思路及关键技术等。</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、磋商响应函</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15.1供应商应按照磋商文件中提供的格式完整、正确填写磋商响应函。</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、磋商有效期</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16.1磋商有效期为服务中心规定的提交响应文件截止之日后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。磋商有效期比规定短的将被视为非实质性响应磋商文件而予以拒绝。</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Hei" w:hAnsi="SimHei" w:eastAsia="SimHei" w:cs="SimHei"/>
          <w:color w:val="000000"/>
          <w:sz w:val="28"/>
        </w:rPr>
        <w:t xml:space="preserve">、磋商有效期的延长</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服务中心于原磋商有效期满之前，可向供应商提出延长磋商有效期的要求。这种要求与答复均应采用书面形式。供应商可以拒绝服务中心的这一要求而放弃磋商，同意延长磋商有效期的供应商既不能要求也不允许修改其响应文件。受磋商有效期约束的所有权利与义务均延长至新的有效期。</w:t>
      </w:r>
      <w:r/>
    </w:p>
    <w:p>
      <w:pPr>
        <w:ind w:left="0" w:right="0" w:firstLine="482"/>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四、响应文件的递交</w:t>
      </w:r>
      <w:r/>
    </w:p>
    <w:p>
      <w:pPr>
        <w:ind w:left="0" w:right="0" w:firstLine="56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18</w:t>
      </w:r>
      <w:r>
        <w:rPr>
          <w:rFonts w:ascii="SimHei" w:hAnsi="SimHei" w:eastAsia="SimHei" w:cs="SimHei"/>
          <w:color w:val="000000"/>
          <w:sz w:val="28"/>
        </w:rPr>
        <w:t xml:space="preserve">、电子磋商响应文件的递交</w:t>
      </w:r>
      <w:r/>
    </w:p>
    <w:p>
      <w:pPr>
        <w:ind w:left="0" w:right="0" w:firstLine="60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18.1供应商应当按照《操作手册》规定，在提交响应文件截止时间前制作并上传电子响应文件。</w:t>
      </w:r>
      <w:r/>
    </w:p>
    <w:p>
      <w:pPr>
        <w:ind w:left="0" w:right="0" w:firstLine="56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、提交响应文件截止时间</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19.1供应商上传电子响应文件的时间不得迟于磋商公告中规定的提交响应文件截止时间。</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供应商应充分考虑到网络环境、网络带宽等风险因素，如因供应商自身原因造成的电子响应文件上传不成功的按照本磋商文件第二章第26.3.2条规定做无效响应处理。</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服务中心可以按照规定，通过修改磋商文件酌情延长提交响应文件截止日期，在此情况下，供应商的所有权利和义务以及供应商受制的截止日期均应以延长后新的截止日期为准。</w:t>
      </w:r>
      <w:r/>
    </w:p>
    <w:p>
      <w:pPr>
        <w:ind w:left="0" w:right="0" w:firstLine="420"/>
        <w:jc w:val="both"/>
        <w:spacing w:before="145"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Hei" w:hAnsi="SimHei" w:eastAsia="SimHei" w:cs="SimHei"/>
          <w:color w:val="000000"/>
          <w:sz w:val="28"/>
        </w:rPr>
        <w:t xml:space="preserve">、响应文件的拒收</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服务中心拒绝接收在其规定的提交响应文件截止时间后上传的任何电子响应文件。</w:t>
      </w:r>
      <w:r/>
    </w:p>
    <w:p>
      <w:pPr>
        <w:ind w:left="0" w:right="0" w:firstLine="420"/>
        <w:jc w:val="both"/>
        <w:spacing w:before="145"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Hei" w:hAnsi="SimHei" w:eastAsia="SimHei" w:cs="SimHei"/>
          <w:color w:val="000000"/>
          <w:sz w:val="28"/>
        </w:rPr>
        <w:t xml:space="preserve">、响应文件的撤回和修改</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21.1响应文件的撤回</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电子响应文件的撤回</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21.1.2供应商撤回电子响应文件，则认为其不再参与本项目磋商活动。</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21.2响应文件的修改</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供应商可在提交响应文件截止时间前，对其电子响应文件进行修改，具体操作方法见《操作手册》。</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在提交响应文件截止时间之后，供应商不得对其电子响应文件作任何修改。</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21.4在提交响应文件截止时间至磋商文件中规定的磋商有效期满之间的这段时间内，供应商不得撤回其响应文件。</w:t>
      </w:r>
      <w:r/>
    </w:p>
    <w:p>
      <w:pPr>
        <w:ind w:left="0" w:right="0" w:firstLine="482"/>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五、响应文件的解密与评审</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22</w:t>
      </w:r>
      <w:r>
        <w:rPr>
          <w:rFonts w:ascii="SimHei" w:hAnsi="SimHei" w:eastAsia="SimHei" w:cs="SimHei"/>
          <w:color w:val="000000"/>
          <w:sz w:val="28"/>
        </w:rPr>
        <w:t xml:space="preserve">、响应文件解密</w:t>
      </w:r>
      <w:r/>
    </w:p>
    <w:p>
      <w:pPr>
        <w:ind w:left="0" w:right="0" w:firstLine="36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22.1供应商应当按照《操作手册》规定，在苏采云系统规定的时间内对磋商响应文件进行解密。</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23</w:t>
      </w:r>
      <w:r>
        <w:rPr>
          <w:rFonts w:ascii="SimHei" w:hAnsi="SimHei" w:eastAsia="SimHei" w:cs="SimHei"/>
          <w:color w:val="000000"/>
          <w:sz w:val="28"/>
        </w:rPr>
        <w:t xml:space="preserve">、磋商小组</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23.1服务中心将组织磋商小组对响应文件进行评审。磋商小组由采购人代表和有关技术、经济等方面的专家组成，且人员构成符合政府采购有关规定。</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23.2磋商小组独立工作，负责评审所有响应文件并确定成交侯选人。</w:t>
      </w:r>
      <w:r/>
    </w:p>
    <w:p>
      <w:pPr>
        <w:ind w:left="0" w:right="0" w:firstLine="420"/>
        <w:jc w:val="both"/>
        <w:spacing w:before="145"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24、评审过程的保密与公正</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24.1磋商小组、采购人和服务中心工作人员、相关监督人员等与评审工作有关的人员，对评审情况以及在评审过程中获悉的国家秘密、商业秘密负有保密责任。</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24.2在评审过程中，供应商不得以任何行为影响磋商评审过程，否则其响应文件将被作为无效响应文件。</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24.3在项目评审期间，服务中心将设专门人员与供应商联系。</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服务中心和磋商小组不向未成交的供应商解释未成交原因，也不公布评审过程中的相关细节。</w:t>
      </w:r>
      <w:r/>
    </w:p>
    <w:p>
      <w:pPr>
        <w:ind w:left="0" w:right="0" w:firstLine="420"/>
        <w:jc w:val="both"/>
        <w:spacing w:before="145"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、评审过程中的的澄清</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425"/>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25"/>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25.3接到磋商小组澄清、说明和更正要求的供应商如未按规定做出澄清、说明和 更正，其风险由供应商自行承担。</w:t>
      </w:r>
      <w:r/>
    </w:p>
    <w:p>
      <w:pPr>
        <w:ind w:left="0" w:right="0" w:firstLine="420"/>
        <w:jc w:val="both"/>
        <w:spacing w:before="145"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Hei" w:hAnsi="SimHei" w:eastAsia="SimHei" w:cs="SimHei"/>
          <w:color w:val="000000"/>
          <w:sz w:val="28"/>
        </w:rPr>
        <w:t xml:space="preserve">、对响应文件的审查</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26.1响应文件审查分为资格审查和符合性审查。</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资格审查：由磋商小组依据法律法规和磋商文件的规定，对响应文件中的资格证明文件进行审查，以确定供应商是否具备参加磋商的资格。</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磋商小组在进行资格审查的同时，将在“信用中国”网站（www.creditchina.gov.cn）查询供应商的信用记录，以确定供应商是否具备磋商资格,查询结果留存并归档。</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符合性审查：依据磋商文件的规定，由磋商小组从响应文件的有效性、完整性和对磋商文件的响应程度进行审查，以确定是否对磋商文件的实质性要求作出响应。</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买方和服务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26.3未实质性响应磋商文件的情形</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26.3.1供应商在苏采云系统规定的时间内未成功解密电子响应文件的。</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26.3.2供应商未按照磋商文件要求上传电子响应文件的。</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26.3.3供应商同一分包提交两个（含两个）以上不同的响应文件或者最后报价的。</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26.3.4供应商不具备磋商文件中规定资格要求的。</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26.3.5供应商的最后报价超过了采购预算。</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26.3.6不符合磋商文件中规定的实质性要求的</w:t>
      </w:r>
      <w:r>
        <w:rPr>
          <w:rFonts w:ascii="SimSun" w:hAnsi="SimSun" w:eastAsia="SimSun" w:cs="SimSun"/>
          <w:i/>
          <w:color w:val="000000"/>
          <w:sz w:val="24"/>
          <w:u w:val="single"/>
        </w:rPr>
        <w:t xml:space="preserve">（本磋商文件中斜体且有下划线部分为实质性要求）。</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26.3.8  响应文件含有采购人不能接受的附加条件的。</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26.3.10响应文件未按照磋商文件要求加盖CA电子公章的。</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26.3.11评审过程中出现下列情形之一的，评审委员会应当启动异常低价投标（响应）审查程序：1．投标（响应）报价低于采购项目预算50%的，即投标（响应）报价&lt;采购项目预算×50%；2．投标（响应）报价低于采购项目最高限价45%的，即投标（响应）报价&lt;采购项目最高限价×45%；3．评审委员会认定的供应商报价过低、有可能影响产品质量或者不能诚信履约的其他情形。</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材料，或者提供的书面说明、证明材料不能证明其报价合理性的，评审委员会应当将其作为无效投标（响应）处理。审查相关情况应当在评审报告中进行记录。</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26.4未实质性响应磋商文件的响应文件按无效响应处理。</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26.5如果响应文件实质上没有响应磋商文件的要求，磋商小组将予以拒绝，供应商不得通过修改或撤销不合要求的偏离或保留而使其成为实质性响应的文件。</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26.6供应商在项目评审全过程中应保持通讯畅通，并安排专人与服务中心及磋商小组联系。</w:t>
      </w:r>
      <w:r/>
    </w:p>
    <w:p>
      <w:pPr>
        <w:ind w:left="0" w:right="0" w:firstLine="420"/>
        <w:jc w:val="both"/>
        <w:spacing w:before="145"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27</w:t>
      </w:r>
      <w:r>
        <w:rPr>
          <w:rFonts w:ascii="SimHei" w:hAnsi="SimHei" w:eastAsia="SimHei" w:cs="SimHei"/>
          <w:color w:val="000000"/>
          <w:sz w:val="28"/>
        </w:rPr>
        <w:t xml:space="preserve">、磋商程序及评审方法和评审标准</w:t>
      </w:r>
      <w:r/>
    </w:p>
    <w:p>
      <w:pPr>
        <w:ind w:left="0" w:right="0" w:firstLine="478"/>
        <w:jc w:val="both"/>
        <w:spacing w:before="0" w:after="145"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27.1磋商程序</w:t>
      </w:r>
      <w:r/>
    </w:p>
    <w:p>
      <w:pPr>
        <w:ind w:left="0" w:right="0" w:firstLine="478"/>
        <w:jc w:val="both"/>
        <w:spacing w:before="0" w:after="145"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8"/>
        <w:jc w:val="both"/>
        <w:spacing w:before="0" w:after="145"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78"/>
        <w:jc w:val="both"/>
        <w:spacing w:before="0" w:after="145"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8"/>
        <w:jc w:val="both"/>
        <w:spacing w:before="0" w:after="145"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0"/>
        <w:jc w:val="both"/>
        <w:spacing w:before="0" w:after="145"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right="0" w:firstLine="478"/>
        <w:jc w:val="both"/>
        <w:spacing w:before="0" w:after="145"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78"/>
        <w:jc w:val="both"/>
        <w:spacing w:before="0" w:after="145"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评审方法和评审标准</w:t>
      </w:r>
      <w:r/>
    </w:p>
    <w:p>
      <w:pPr>
        <w:ind w:left="0" w:right="0" w:firstLine="478"/>
        <w:jc w:val="both"/>
        <w:spacing w:before="0" w:after="145"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27.2.1评审方法。经磋商确定最终采购需求和提交最后报价的供应商后，由磋商小组采用综合评分法对提交最后报价的供应商的响应文件和最后报价进行综合评分。</w:t>
      </w:r>
      <w:r/>
    </w:p>
    <w:p>
      <w:pPr>
        <w:ind w:left="0" w:right="0" w:firstLine="478"/>
        <w:jc w:val="both"/>
        <w:spacing w:before="0" w:after="145"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8"/>
        <w:jc w:val="both"/>
        <w:spacing w:before="0" w:after="145"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27.2.2评审标准</w:t>
      </w:r>
      <w:r/>
    </w:p>
    <w:p>
      <w:pPr>
        <w:ind w:left="0" w:right="0" w:firstLine="478"/>
        <w:jc w:val="both"/>
        <w:spacing w:before="0" w:after="145"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见本磋商文件第五章规定。</w:t>
      </w:r>
      <w:r/>
    </w:p>
    <w:p>
      <w:pPr>
        <w:ind w:left="0" w:right="0" w:firstLine="478"/>
        <w:jc w:val="both"/>
        <w:spacing w:before="0" w:after="145"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27.3采购活动终止的情况</w:t>
      </w:r>
      <w:r/>
    </w:p>
    <w:p>
      <w:pPr>
        <w:ind w:left="0" w:right="0" w:firstLine="360"/>
        <w:jc w:val="both"/>
        <w:spacing w:before="0" w:after="145"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360"/>
        <w:jc w:val="both"/>
        <w:spacing w:before="0" w:after="145"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27.3.1因情况变化，不再符合规定的竞争性磋商采购方式适用情形的。</w:t>
      </w:r>
      <w:r/>
    </w:p>
    <w:p>
      <w:pPr>
        <w:ind w:left="0" w:right="0" w:firstLine="360"/>
        <w:jc w:val="both"/>
        <w:spacing w:before="0" w:after="145"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27.3.2出现影响采购公正的违法、违规行为的。</w:t>
      </w:r>
      <w:r/>
    </w:p>
    <w:p>
      <w:pPr>
        <w:ind w:left="0" w:right="0" w:firstLine="360"/>
        <w:jc w:val="both"/>
        <w:spacing w:before="0" w:after="145"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27.3.3除本磋商文件第二章第27.1.2条第三款规定的情形外，在采购过程中符合要求的供应商或者最后报价未超过采购预算的供应商不足3家的。</w:t>
      </w:r>
      <w:r/>
    </w:p>
    <w:p>
      <w:pPr>
        <w:ind w:left="0" w:right="0" w:firstLine="360"/>
        <w:jc w:val="both"/>
        <w:spacing w:before="0" w:after="145"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27.3.4在苏采云系统规定时间内成功解密电子响应文件的供应商不足3家的。</w:t>
      </w:r>
      <w:r/>
    </w:p>
    <w:p>
      <w:pPr>
        <w:ind w:left="0" w:right="0" w:firstLine="482"/>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六、成交</w:t>
      </w:r>
      <w:r/>
    </w:p>
    <w:p>
      <w:pPr>
        <w:ind w:left="0" w:right="0" w:firstLine="60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28、确定成交单位</w:t>
      </w:r>
      <w:r/>
    </w:p>
    <w:p>
      <w:pPr>
        <w:ind w:left="0" w:right="0" w:firstLine="478"/>
        <w:jc w:val="both"/>
        <w:spacing w:before="0" w:after="145"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28.2采购人从评审报告提出的成交候选供应商中，按照排序由高到低的原则确定成交供应商。采购人确定成交供应商后，服务中心将在“江苏政府采购网”发布成交结果公告，公告期限为1个工作日。</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28.3若有充分证据证明，成交供应商出现下列情况之一的，一经查实，将被取消成交资格：</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28.3.1提供虚假材料谋取成交的。</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28.3.2与评审专家、采购人、其他供应商或者服务中心工作人员恶意串通的。</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28.3.3向评审专家、采购人或服务中心工作人员行贿或者提供其他不正当利益的。</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28.3.4恶意竞争，最后报价明显低于其自身合理成本且又无法提供证明的。</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28.3.5不满足本磋商文件规定的实质性要求，但在评审过程中又未被磋商小组发现的。</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28.3.6成交后无正当理由拒不与采购人签订政府采购合同或者未按照磋商文件确定的事项签订政府采购合同的。</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28.3.7将政府采购合同转包的。</w:t>
      </w:r>
      <w:r/>
    </w:p>
    <w:p>
      <w:pPr>
        <w:ind w:left="0" w:right="0" w:firstLine="600"/>
        <w:jc w:val="both"/>
        <w:spacing w:before="145"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29、质疑处理</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服务中心或采购人提出质疑。上述应知其权益受到损害之日，是指：</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b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29.2.2对采购过程提出质疑的，为各采购程序环节结束之日。</w:t>
        <w:b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29.2.3对成交结果提出质疑的，为成交结果公告期限届满之日。</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供应商应当在法定质疑期内一次性提出针对同一采购程序环节的质疑。供应商如在法定期限内对同一采购程序环节提出多次质疑的，服务中心、采购人将只对供应商第一次质疑作出答复。</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采购方式、采购需求、供应商资格条件、评审方法与评审标准、合同文本的询问、质疑请向采购人提出，由采购人负责答复。供应商对其他事项的询问、质疑请向服务中心提出，由服务中心负责答复。</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采购人及服务中心只接收以纸质原件形式送达的质疑,建议供应商尽量通过邮寄方式提交质疑（采购人和服务中心不接受无快递运单号的快递）。</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采购人质疑接收人及联系方式见本磋商文件第一章。</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未参加磋商活动的供应商或在磋商活动中自身权益未受到损害的供应商所提出的质疑。</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29.5.5供应商组成联合体参加磋商，联合体中任何一方或多方未按要求签字、盖章、加盖公章的质疑。</w:t>
      </w:r>
      <w:r/>
    </w:p>
    <w:p>
      <w:pPr>
        <w:ind w:left="0" w:right="0" w:firstLine="468"/>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服务中心有权依据政府采购的有关规定，报请政府采购监管部门对该供应商进行相应的行政处罚和记录该供应商的失信信息。</w:t>
      </w:r>
      <w:r/>
    </w:p>
    <w:p>
      <w:pPr>
        <w:ind w:left="0" w:right="0" w:firstLine="60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30、成交通知书</w:t>
      </w:r>
      <w:r/>
    </w:p>
    <w:p>
      <w:pPr>
        <w:ind w:left="0" w:right="0" w:firstLine="60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结果确定后，服务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 签订合同</w:t>
      </w:r>
      <w:r/>
    </w:p>
    <w:p>
      <w:pPr>
        <w:ind w:left="0" w:right="0" w:firstLine="60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31.l成交供应商应当在成交通知书发出之日起三十日内，按照磋商文件确定的事项与采购人签订政府采购合同。</w:t>
      </w:r>
      <w:r/>
    </w:p>
    <w:p>
      <w:pPr>
        <w:ind w:left="0" w:right="0" w:firstLine="60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31.2磋商文件、成交供应商的响应文件及磋商过程中有关澄清、承诺文件均应作为合同附件。</w:t>
      </w:r>
      <w:r/>
    </w:p>
    <w:p>
      <w:pPr>
        <w:ind w:left="0" w:right="0" w:firstLine="60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60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32、标的物的追加</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60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33、政府采购履约资金扶持政策</w:t>
      </w:r>
      <w:r/>
    </w:p>
    <w:p>
      <w:pPr>
        <w:ind w:left="0" w:right="0" w:firstLine="601"/>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33.1中标供应商可凭政府采购合同办理融资贷款，详情请见江苏政府采购网“政采贷”专栏。</w:t>
      </w:r>
      <w:r/>
    </w:p>
    <w:p>
      <w:pPr>
        <w:ind w:left="0" w:right="0" w:firstLine="601"/>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left="0" w:right="0" w:firstLine="601"/>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34、落实《商品包装政府采购需求标准（试行）》、《快递包装政府采购需求标准（试行）》的相关政策，商品包装和快递包装应符合文件要求。</w:t>
      </w:r>
      <w:r/>
    </w:p>
    <w:p>
      <w:pPr>
        <w:ind w:left="0" w:right="0" w:firstLine="60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35、按照《绿色数据中心政府采购需求标准(试行)》（财库[2023]7号）文件要求执行。</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264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 合同文本</w:t>
      </w:r>
      <w:r/>
    </w:p>
    <w:p>
      <w:pPr>
        <w:ind w:left="0" w:right="0" w:firstLine="264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以下为成交后签定本项目合同的通用条款，成交供应商不得提出实质性的修改。</w:t>
      </w:r>
      <w:r/>
    </w:p>
    <w:p>
      <w:pPr>
        <w:ind w:left="0" w:right="0" w:firstLine="0"/>
        <w:jc w:val="center"/>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江苏省政府采购合同（合同编号）</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                                    </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甲方：（买方）_________</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乙方：（卖方）_________</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甲、乙双方根据泰州市海陵区政务服务中心</w:t>
      </w:r>
      <w:r>
        <w:rPr>
          <w:rFonts w:ascii="SimSun" w:hAnsi="SimSun" w:eastAsia="SimSun" w:cs="SimSun"/>
          <w:color w:val="000000"/>
          <w:sz w:val="24"/>
          <w:u w:val="single"/>
        </w:rPr>
        <w:t xml:space="preserve">         </w:t>
      </w:r>
      <w:r>
        <w:rPr>
          <w:rFonts w:ascii="SimSun" w:hAnsi="SimSun" w:eastAsia="SimSun" w:cs="SimSun"/>
          <w:color w:val="000000"/>
          <w:sz w:val="24"/>
        </w:rPr>
        <w:t xml:space="preserve">项目竞争性磋商的结果，签署本合同。</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1.1标的名称：</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1.2标的质量：</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1.3标的数量（规模）：</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1.4履行时间（期限）：</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1.5履行地点：</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1.6履行方式：</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410" w:right="0" w:hanging="41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2.1本合同金额为（大写）：____________________________________圆（_______________元）人民币或其他币种。</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410" w:right="0" w:hanging="41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3.1乙方应按磋商文件规定的时间向甲方提供与合同标的有关的技术资料。</w:t>
      </w:r>
      <w:r/>
    </w:p>
    <w:p>
      <w:pPr>
        <w:ind w:left="410" w:right="0" w:hanging="41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408" w:right="0" w:hanging="408"/>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4.1乙方应保证甲方在使用、接受本合同标的或其任何一部分时不受第三方提出侵犯其专利权、版权、商标权和工业设计权等知识产权的起诉。一旦出现侵权，由乙方负全部责任。</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408" w:right="0" w:hanging="408"/>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5.1乙方保证所交付的合同标的的所有权完全属于乙方且无任何抵押、查封等产权瑕疵。</w:t>
      </w:r>
      <w:r/>
    </w:p>
    <w:p>
      <w:pPr>
        <w:ind w:left="410" w:right="0" w:hanging="41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408" w:right="0" w:hanging="408"/>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6.1乙方交纳人民币_________元作为本合同的履约保证金。（不得超过合同金额的10%）</w:t>
      </w:r>
      <w:r/>
    </w:p>
    <w:p>
      <w:pPr>
        <w:ind w:left="408" w:right="0" w:hanging="408"/>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6.2合同履行结束后，甲方应及时退还交纳的履约保证金。</w:t>
      </w:r>
      <w:r/>
    </w:p>
    <w:p>
      <w:pPr>
        <w:ind w:left="408" w:right="0" w:hanging="408"/>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6.2.1履约保证金退还方式：</w:t>
      </w:r>
      <w:r/>
    </w:p>
    <w:p>
      <w:pPr>
        <w:ind w:left="408" w:right="0" w:hanging="408"/>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6.2.2履约保证金退还时间：</w:t>
      </w:r>
      <w:r/>
    </w:p>
    <w:p>
      <w:pPr>
        <w:ind w:left="408" w:right="0" w:hanging="408"/>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6.2.3履约保证金退还条件：</w:t>
      </w:r>
      <w:r/>
    </w:p>
    <w:p>
      <w:pPr>
        <w:ind w:left="408" w:right="0" w:hanging="408"/>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6.2.4履约保证金不予退还的情形：</w:t>
      </w:r>
      <w:r/>
    </w:p>
    <w:p>
      <w:pPr>
        <w:ind w:left="0" w:right="0" w:firstLine="0"/>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0"/>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7.1乙方不得将合同标的转包给他人履行。</w:t>
      </w:r>
      <w:r/>
    </w:p>
    <w:p>
      <w:pPr>
        <w:ind w:left="0" w:right="0" w:firstLine="0"/>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7.2乙方不得将合同标的分包给他人履行。</w:t>
      </w:r>
      <w:r/>
    </w:p>
    <w:p>
      <w:pPr>
        <w:ind w:left="0" w:right="0" w:firstLine="0"/>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7.3乙方如有转包或未经甲方同意的分包行为，甲方有权解除合同。</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8.1签订合同后支付成交总金额的10%作为预付款；</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8.2项目最终验收通过后支付至100%。</w:t>
      </w:r>
      <w:r/>
    </w:p>
    <w:p>
      <w:pPr>
        <w:ind w:left="0" w:right="0" w:firstLine="48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对于满足合同约定支付条件的，采购人原则上应当自收到发票后10个工作日内将资金支付到合同约定的供应商账户。</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九、税费</w:t>
      </w:r>
      <w:r/>
    </w:p>
    <w:p>
      <w:pPr>
        <w:ind w:left="0" w:right="0" w:firstLine="0"/>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9.1本合同执行中相关的一切税费均由乙方负担。</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十、项目验收</w:t>
      </w:r>
      <w:r/>
    </w:p>
    <w:p>
      <w:pPr>
        <w:ind w:left="480" w:right="0" w:hanging="48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10.1甲方依法组织履约验收工作。</w:t>
      </w:r>
      <w:r/>
    </w:p>
    <w:p>
      <w:pPr>
        <w:ind w:left="480" w:right="0" w:hanging="48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对于实际使用人和甲方分离的项目，甲方邀请实际使用人参与验收。</w:t>
      </w:r>
      <w:r/>
    </w:p>
    <w:p>
      <w:pPr>
        <w:ind w:left="480" w:right="0" w:hanging="48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10.4如有必要，甲方邀请参加本项目的其他供应商或第三方专业机构及专家参与验收，相关意见将作为验收书的参考资料。</w:t>
      </w:r>
      <w:r/>
    </w:p>
    <w:p>
      <w:pPr>
        <w:ind w:left="480" w:right="0" w:hanging="48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十一、违约责任</w:t>
      </w:r>
      <w:r/>
    </w:p>
    <w:p>
      <w:pPr>
        <w:ind w:left="410" w:right="0" w:hanging="41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11.1甲方无正当理由拒绝接受乙方提供的合同标的的，甲方向乙方偿付拒绝接受合同价款总值</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w:t>
      </w:r>
      <w:r/>
    </w:p>
    <w:p>
      <w:pPr>
        <w:ind w:left="410" w:right="0" w:hanging="41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甲方无故逾期验收和办理合同款项支付手续的,甲方应按逾期付款总额</w:t>
      </w:r>
      <w:r>
        <w:rPr>
          <w:rFonts w:ascii="SimSun" w:hAnsi="SimSun" w:eastAsia="SimSun" w:cs="SimSun"/>
          <w:color w:val="000000"/>
          <w:sz w:val="24"/>
          <w:u w:val="single"/>
        </w:rPr>
        <w:t xml:space="preserve">   </w:t>
      </w:r>
      <w:r>
        <w:rPr>
          <w:rFonts w:ascii="SimSun" w:hAnsi="SimSun" w:eastAsia="SimSun" w:cs="SimSun"/>
          <w:color w:val="000000"/>
          <w:sz w:val="24"/>
        </w:rPr>
        <w:t xml:space="preserve">每日向乙方支付违约金。</w:t>
      </w:r>
      <w:r/>
    </w:p>
    <w:p>
      <w:pPr>
        <w:ind w:left="410" w:right="0" w:hanging="41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的违约金，如造成甲方损失超过违约金的，超出部分由乙方继续承担赔偿责任。 </w:t>
      </w:r>
      <w:r/>
    </w:p>
    <w:p>
      <w:pPr>
        <w:ind w:left="410" w:right="0" w:hanging="41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乙方交付合同标的的标准不符合合同规定及磋商文件规定标准的，甲方有权拒绝接受合同标的，并可单方面解除合同。</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十二、不可抗力事件处理</w:t>
      </w:r>
      <w:r/>
    </w:p>
    <w:p>
      <w:pPr>
        <w:ind w:left="480" w:right="0" w:hanging="48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在合同有效期内，任何一方因不可抗力事件导致不能履行合同，则合同履行期可延长，其延长期与不可抗力影响 期相同。</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12.2不可抗力事件发生后，应立即通知对方，并寄送有关权威机构出具的证明。</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12.3不可抗力事件延续120天以上，双方应通过友好协商，确定是否继续履行合同。</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十三、解决争议的方法</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十四、合同生效及其它</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14.1合同经双方法定代表人或授权委托代表人签字并加盖单位公章后生效。</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14.2本合同未尽事宜，遵照中华人民共和国现行法律法规有关条文执行。</w:t>
      </w:r>
      <w:r/>
    </w:p>
    <w:p>
      <w:pPr>
        <w:ind w:left="480" w:right="0" w:hanging="48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本合同正本一式三份，具有同等法律效力，甲方、乙方及财政监管部门各执一份。</w:t>
      </w:r>
      <w:r/>
    </w:p>
    <w:p>
      <w:pPr>
        <w:ind w:left="480" w:right="0" w:hanging="48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hanging="48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hanging="48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hanging="48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                             乙方： </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地址： </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             法定代表人或授权代表：</w:t>
      </w:r>
      <w:r/>
    </w:p>
    <w:p>
      <w:pPr>
        <w:ind w:left="0" w:right="0" w:firstLine="24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         </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  签订日期：     年    月   日</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120" w:after="36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pStyle w:val="646"/>
        <w:ind w:left="0" w:right="0" w:firstLine="0"/>
        <w:jc w:val="both"/>
        <w:spacing w:before="280" w:after="29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1.建设背景</w:t>
      </w:r>
      <w:r/>
    </w:p>
    <w:p>
      <w:pPr>
        <w:ind w:left="0" w:right="0" w:firstLine="480"/>
        <w:spacing w:before="206" w:after="206" w:line="360" w:lineRule="auto"/>
        <w:shd w:val="clear" w:color="ffffff" w:fill="ffffff"/>
        <w:rPr>
          <w:rFonts w:ascii="SimSun" w:hAnsi="SimSun" w:eastAsia="SimSun" w:cs="SimSun"/>
          <w:color w:val="000000"/>
          <w:sz w:val="24"/>
          <w:szCs w:val="24"/>
          <w:highlight w:val="whit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highlight w:val="white"/>
        </w:rPr>
        <w:t xml:space="preserve">泰州海陵区司法局（</w:t>
      </w:r>
      <w:r>
        <w:rPr>
          <w:rFonts w:ascii="SimSun" w:hAnsi="SimSun" w:eastAsia="SimSun" w:cs="SimSun"/>
          <w:color w:val="000000"/>
          <w:sz w:val="24"/>
          <w:szCs w:val="24"/>
          <w:highlight w:val="white"/>
        </w:rPr>
        <w:t xml:space="preserve">以下简称海陵区司法局</w:t>
      </w:r>
      <w:r>
        <w:rPr>
          <w:rFonts w:ascii="SimSun" w:hAnsi="SimSun" w:eastAsia="SimSun" w:cs="SimSun"/>
          <w:color w:val="000000"/>
          <w:sz w:val="24"/>
          <w:szCs w:val="24"/>
          <w:highlight w:val="white"/>
        </w:rPr>
        <w:t xml:space="preserve">）是</w:t>
      </w:r>
      <w:r>
        <w:rPr>
          <w:rFonts w:ascii="SimSun" w:hAnsi="SimSun" w:eastAsia="SimSun" w:cs="SimSun"/>
          <w:color w:val="000000"/>
          <w:sz w:val="24"/>
          <w:szCs w:val="24"/>
          <w:highlight w:val="white"/>
        </w:rPr>
        <w:t xml:space="preserve">江苏省泰州市海陵区人民政府</w:t>
      </w:r>
      <w:r>
        <w:rPr>
          <w:rFonts w:ascii="SimSun" w:hAnsi="SimSun" w:eastAsia="SimSun" w:cs="SimSun"/>
          <w:color w:val="000000"/>
          <w:sz w:val="24"/>
          <w:szCs w:val="24"/>
          <w:highlight w:val="white"/>
        </w:rPr>
        <w:t xml:space="preserve">的重要组成部门，负责统筹推进全区法治建设、法律服务、社区矫正、普法宣传及矛盾纠纷化解等工作。海陵区作为泰州市主城区，人口密集、社会治理复杂度高，</w:t>
      </w:r>
      <w:r>
        <w:rPr>
          <w:rFonts w:ascii="SimSun" w:hAnsi="SimSun" w:eastAsia="SimSun" w:cs="SimSun"/>
          <w:color w:val="000000"/>
          <w:sz w:val="24"/>
          <w:szCs w:val="24"/>
          <w:highlight w:val="white"/>
        </w:rPr>
        <w:t xml:space="preserve">海陵区司法局</w:t>
      </w:r>
      <w:r>
        <w:rPr>
          <w:rFonts w:ascii="SimSun" w:hAnsi="SimSun" w:eastAsia="SimSun" w:cs="SimSun"/>
          <w:color w:val="000000"/>
          <w:sz w:val="24"/>
          <w:szCs w:val="24"/>
          <w:highlight w:val="white"/>
        </w:rPr>
        <w:t xml:space="preserve">始终以“法治护航民生、科技赋能治理”为核心理念，积极探索基层司法行政工作的数字化转型。</w:t>
      </w:r>
      <w:r>
        <w:rPr>
          <w:rFonts w:ascii="SimSun" w:hAnsi="SimSun" w:eastAsia="SimSun" w:cs="SimSun"/>
          <w:color w:val="000000"/>
          <w:sz w:val="24"/>
          <w:szCs w:val="24"/>
          <w:highlight w:val="white"/>
        </w:rPr>
      </w:r>
      <w:r/>
    </w:p>
    <w:p>
      <w:pPr>
        <w:ind w:left="0" w:right="0" w:firstLine="480"/>
        <w:spacing w:before="206" w:after="206" w:line="360" w:lineRule="auto"/>
        <w:shd w:val="clear" w:color="ffffff" w:fill="ffffff"/>
        <w:rPr>
          <w:rFonts w:ascii="SimSun" w:hAnsi="SimSun" w:eastAsia="SimSun" w:cs="SimSun"/>
          <w:color w:val="000000"/>
          <w:sz w:val="24"/>
          <w:szCs w:val="24"/>
          <w:highlight w:val="whit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highlight w:val="white"/>
        </w:rPr>
        <w:t xml:space="preserve">近年来，海陵区司法局聚焦社区矫正领域的安全监管效能提升，依托信息化手段创新管理模式。通过构建“智慧矫正”体系，整合人脸识别、实时定位、电子围栏等技术，强化对矫正对象的动态监管，有效降低脱管漏管风险。同时，海陵区</w:t>
      </w:r>
      <w:r>
        <w:rPr>
          <w:rFonts w:ascii="SimSun" w:hAnsi="SimSun" w:eastAsia="SimSun" w:cs="SimSun"/>
          <w:color w:val="000000"/>
          <w:sz w:val="24"/>
          <w:szCs w:val="24"/>
          <w:highlight w:val="white"/>
        </w:rPr>
        <w:t xml:space="preserve">司法局</w:t>
      </w:r>
      <w:r>
        <w:rPr>
          <w:rFonts w:ascii="SimSun" w:hAnsi="SimSun" w:eastAsia="SimSun" w:cs="SimSun"/>
          <w:color w:val="000000"/>
          <w:sz w:val="24"/>
          <w:szCs w:val="24"/>
          <w:highlight w:val="white"/>
        </w:rPr>
        <w:t xml:space="preserve">注重信息化建设，着手打造“矫正监管，信息化核查、多维矫正”体系，助力海陵区平安建设和社会治理现代化。在“十四五”规划背景下，海陵区司法局持续深化司法行政改革，以信息化核查系统等智能化工具为抓手，全面提升法律服务的精准性和监管效率，为打造“法治海陵、平安海陵”提供了坚实保障。</w:t>
      </w:r>
      <w:r>
        <w:rPr>
          <w:rFonts w:ascii="SimSun" w:hAnsi="SimSun" w:eastAsia="SimSun" w:cs="SimSun"/>
          <w:color w:val="000000"/>
          <w:sz w:val="24"/>
          <w:szCs w:val="24"/>
          <w:highlight w:val="white"/>
        </w:rPr>
      </w:r>
      <w:r/>
    </w:p>
    <w:p>
      <w:pPr>
        <w:pStyle w:val="646"/>
        <w:ind w:left="0" w:right="0" w:firstLine="0"/>
        <w:jc w:val="both"/>
        <w:spacing w:before="280" w:after="29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2.建设目标</w:t>
      </w:r>
      <w:r/>
    </w:p>
    <w:p>
      <w:pPr>
        <w:ind w:left="0" w:right="0" w:firstLine="0"/>
        <w:spacing w:before="0" w:after="6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highlight w:val="white"/>
        </w:rPr>
        <w:t xml:space="preserve">智能化监管</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w:t>
      </w:r>
      <w:r>
        <w:rPr>
          <w:rFonts w:ascii="SimSun" w:hAnsi="SimSun" w:eastAsia="SimSun" w:cs="SimSun"/>
          <w:color w:val="000000"/>
          <w:sz w:val="24"/>
          <w:highlight w:val="white"/>
        </w:rPr>
        <w:t xml:space="preserve">结合人脸识别活体检测、大数据比对技术，有效杜绝虚拟定位及人机分离问题。</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1.2</w:t>
      </w:r>
      <w:r>
        <w:rPr>
          <w:rFonts w:ascii="SimSun" w:hAnsi="SimSun" w:eastAsia="SimSun" w:cs="SimSun"/>
          <w:color w:val="000000"/>
          <w:sz w:val="24"/>
          <w:highlight w:val="white"/>
        </w:rPr>
        <w:t xml:space="preserve">自动与人工抽查双模式结合，提升监管效率和随机性。</w:t>
      </w:r>
      <w:r/>
    </w:p>
    <w:p>
      <w:pPr>
        <w:ind w:left="0" w:right="0" w:firstLine="0"/>
        <w:spacing w:before="0" w:after="6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highlight w:val="white"/>
        </w:rPr>
        <w:t xml:space="preserve">全流程闭环管理</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2.1</w:t>
      </w:r>
      <w:r>
        <w:rPr>
          <w:rFonts w:ascii="SimSun" w:hAnsi="SimSun" w:eastAsia="SimSun" w:cs="SimSun"/>
          <w:color w:val="000000"/>
          <w:sz w:val="24"/>
          <w:highlight w:val="white"/>
        </w:rPr>
        <w:t xml:space="preserve">从签到配置、异常预警到管理等级动态调整，实现矫正对象全生命周期管理。</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2.2</w:t>
      </w:r>
      <w:r>
        <w:rPr>
          <w:rFonts w:ascii="SimSun" w:hAnsi="SimSun" w:eastAsia="SimSun" w:cs="SimSun"/>
          <w:color w:val="000000"/>
          <w:sz w:val="24"/>
          <w:highlight w:val="white"/>
        </w:rPr>
        <w:t xml:space="preserve">支持多端协同（PC端、移动端），覆盖工作人员与矫正对象的双向交互需求。</w:t>
      </w:r>
      <w:r/>
    </w:p>
    <w:p>
      <w:pPr>
        <w:ind w:left="0" w:right="0" w:firstLine="0"/>
        <w:spacing w:before="0" w:after="6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highlight w:val="white"/>
        </w:rPr>
        <w:t xml:space="preserve">数据驱动决策</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3.1</w:t>
      </w:r>
      <w:r>
        <w:rPr>
          <w:rFonts w:ascii="SimSun" w:hAnsi="SimSun" w:eastAsia="SimSun" w:cs="SimSun"/>
          <w:color w:val="000000"/>
          <w:sz w:val="24"/>
          <w:highlight w:val="white"/>
        </w:rPr>
        <w:t xml:space="preserve">信息化核查报表一键导出，支持数据可视化分析，为管理决策提供依据。</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3.2 </w:t>
      </w:r>
      <w:r>
        <w:rPr>
          <w:rFonts w:ascii="SimSun" w:hAnsi="SimSun" w:eastAsia="SimSun" w:cs="SimSun"/>
          <w:color w:val="000000"/>
          <w:sz w:val="24"/>
          <w:highlight w:val="white"/>
        </w:rPr>
        <w:t xml:space="preserve">GPS实时定位、历史轨迹、电子围栏等功能，全面掌握矫正对象行为动态。</w:t>
      </w:r>
      <w:r/>
    </w:p>
    <w:p>
      <w:pPr>
        <w:ind w:left="0" w:right="0" w:firstLine="0"/>
        <w:spacing w:before="0" w:after="6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4"/>
          <w:highlight w:val="white"/>
        </w:rPr>
        <w:t xml:space="preserve">高扩展性与灵活性</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4.1</w:t>
      </w:r>
      <w:r>
        <w:rPr>
          <w:rFonts w:ascii="SimSun" w:hAnsi="SimSun" w:eastAsia="SimSun" w:cs="SimSun"/>
          <w:color w:val="000000"/>
          <w:sz w:val="24"/>
          <w:highlight w:val="white"/>
        </w:rPr>
        <w:t xml:space="preserve">支持自定义抽查规则、签到时间段配置，适应不同场景需求。</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4.2</w:t>
      </w:r>
      <w:r>
        <w:rPr>
          <w:rFonts w:ascii="SimSun" w:hAnsi="SimSun" w:eastAsia="SimSun" w:cs="SimSun"/>
          <w:color w:val="000000"/>
          <w:sz w:val="24"/>
          <w:highlight w:val="white"/>
        </w:rPr>
        <w:t xml:space="preserve">模块化设计，功能可独立扩展（如新增预警规则、管理等级评定标准）。</w:t>
      </w:r>
      <w:r/>
    </w:p>
    <w:p>
      <w:pPr>
        <w:pStyle w:val="646"/>
        <w:ind w:left="0" w:right="0" w:firstLine="0"/>
        <w:jc w:val="both"/>
        <w:spacing w:before="280" w:after="29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3.建设需求</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95"/>
        <w:gridCol w:w="606"/>
        <w:gridCol w:w="742"/>
        <w:gridCol w:w="845"/>
        <w:gridCol w:w="4148"/>
        <w:gridCol w:w="629"/>
        <w:gridCol w:w="1855"/>
        <w:gridCol w:w="35"/>
      </w:tblGrid>
      <w:tr>
        <w:trPr>
          <w:trHeight w:val="310"/>
        </w:trPr>
        <w:tc>
          <w:tcPr>
            <w:gridSpan w:val="8"/>
            <w:shd w:val="clear" w:color="e7e6e6" w:fill="e7e6e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5" w:type="dxa"/>
            <w:vAlign w:val="center"/>
            <w:textDirection w:val="lrTb"/>
            <w:noWrap w:val="false"/>
          </w:tcPr>
          <w:p>
            <w:pPr>
              <w:ind w:left="0" w:right="0" w:firstLine="0"/>
              <w:jc w:val="center"/>
              <w:spacing w:before="0" w:after="0" w:line="360" w:lineRule="auto"/>
              <w:shd w:val="clear" w:color="d9d9d9" w:fill="d9d9d9"/>
              <w:pBdr>
                <w:top w:val="none" w:color="000000" w:sz="4" w:space="0"/>
                <w:left w:val="none" w:color="000000" w:sz="4" w:space="0"/>
                <w:bottom w:val="none" w:color="000000" w:sz="4" w:space="0"/>
                <w:right w:val="none" w:color="000000" w:sz="4" w:space="0"/>
              </w:pBdr>
            </w:pPr>
            <w:r>
              <w:rPr>
                <w:rFonts w:ascii="SimSun" w:hAnsi="SimSun" w:eastAsia="SimSun" w:cs="SimSun"/>
                <w:color w:val="1d1b11"/>
                <w:sz w:val="24"/>
                <w:highlight w:val="lightGray"/>
              </w:rPr>
              <w:t xml:space="preserve">信息化核查定制版</w:t>
            </w:r>
            <w:r/>
          </w:p>
        </w:tc>
      </w:tr>
      <w:tr>
        <w:trPr>
          <w:trHeight w:val="315"/>
        </w:trPr>
        <w:tc>
          <w:tcPr>
            <w:shd w:val="clear" w:color="e7e6e6" w:fill="e7e6e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line="360" w:lineRule="auto"/>
              <w:shd w:val="clear" w:color="d9d9d9" w:fill="d9d9d9"/>
              <w:pBdr>
                <w:top w:val="none" w:color="000000" w:sz="4" w:space="0"/>
                <w:left w:val="none" w:color="000000" w:sz="4" w:space="0"/>
                <w:bottom w:val="none" w:color="000000" w:sz="4" w:space="0"/>
                <w:right w:val="none" w:color="000000" w:sz="4" w:space="0"/>
              </w:pBdr>
            </w:pPr>
            <w:r>
              <w:rPr>
                <w:rFonts w:ascii="SimSun" w:hAnsi="SimSun" w:eastAsia="SimSun" w:cs="SimSun"/>
                <w:color w:val="1d1b11"/>
                <w:sz w:val="24"/>
                <w:highlight w:val="lightGray"/>
              </w:rPr>
              <w:t xml:space="preserve">序号</w:t>
            </w:r>
            <w:r/>
          </w:p>
        </w:tc>
        <w:tc>
          <w:tcPr>
            <w:gridSpan w:val="2"/>
            <w:shd w:val="clear" w:color="e7e6e6" w:fill="e7e6e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360" w:lineRule="auto"/>
              <w:shd w:val="clear" w:color="d9d9d9" w:fill="d9d9d9"/>
              <w:pBdr>
                <w:top w:val="none" w:color="000000" w:sz="4" w:space="0"/>
                <w:left w:val="none" w:color="000000" w:sz="4" w:space="0"/>
                <w:bottom w:val="none" w:color="000000" w:sz="4" w:space="0"/>
                <w:right w:val="none" w:color="000000" w:sz="4" w:space="0"/>
              </w:pBdr>
            </w:pPr>
            <w:r>
              <w:rPr>
                <w:rFonts w:ascii="SimSun" w:hAnsi="SimSun" w:eastAsia="SimSun" w:cs="SimSun"/>
                <w:color w:val="1d1b11"/>
                <w:sz w:val="24"/>
                <w:highlight w:val="lightGray"/>
              </w:rPr>
              <w:t xml:space="preserve">系统</w:t>
            </w:r>
            <w:r/>
          </w:p>
        </w:tc>
        <w:tc>
          <w:tcPr>
            <w:shd w:val="clear" w:color="e7e6e6" w:fill="e7e6e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line="360" w:lineRule="auto"/>
              <w:shd w:val="clear" w:color="d9d9d9" w:fill="d9d9d9"/>
              <w:pBdr>
                <w:top w:val="none" w:color="000000" w:sz="4" w:space="0"/>
                <w:left w:val="none" w:color="000000" w:sz="4" w:space="0"/>
                <w:bottom w:val="none" w:color="000000" w:sz="4" w:space="0"/>
                <w:right w:val="none" w:color="000000" w:sz="4" w:space="0"/>
              </w:pBdr>
            </w:pPr>
            <w:r>
              <w:rPr>
                <w:rFonts w:ascii="SimSun" w:hAnsi="SimSun" w:eastAsia="SimSun" w:cs="SimSun"/>
                <w:color w:val="1d1b11"/>
                <w:sz w:val="24"/>
                <w:highlight w:val="lightGray"/>
              </w:rPr>
              <w:t xml:space="preserve">功能</w:t>
            </w:r>
            <w:r/>
          </w:p>
        </w:tc>
        <w:tc>
          <w:tcPr>
            <w:shd w:val="clear" w:color="e7e6e6" w:fill="e7e6e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8" w:type="dxa"/>
            <w:vAlign w:val="center"/>
            <w:textDirection w:val="lrTb"/>
            <w:noWrap w:val="false"/>
          </w:tcPr>
          <w:p>
            <w:pPr>
              <w:ind w:left="0" w:right="0" w:firstLine="0"/>
              <w:jc w:val="center"/>
              <w:spacing w:before="0" w:after="0" w:line="360" w:lineRule="auto"/>
              <w:shd w:val="clear" w:color="d9d9d9" w:fill="d9d9d9"/>
              <w:pBdr>
                <w:top w:val="none" w:color="000000" w:sz="4" w:space="0"/>
                <w:left w:val="none" w:color="000000" w:sz="4" w:space="0"/>
                <w:bottom w:val="none" w:color="000000" w:sz="4" w:space="0"/>
                <w:right w:val="none" w:color="000000" w:sz="4" w:space="0"/>
              </w:pBdr>
            </w:pPr>
            <w:r>
              <w:rPr>
                <w:rFonts w:ascii="SimSun" w:hAnsi="SimSun" w:eastAsia="SimSun" w:cs="SimSun"/>
                <w:color w:val="1d1b11"/>
                <w:sz w:val="24"/>
                <w:highlight w:val="lightGray"/>
              </w:rPr>
              <w:t xml:space="preserve">功能描述</w:t>
            </w:r>
            <w:r/>
          </w:p>
        </w:tc>
        <w:tc>
          <w:tcPr>
            <w:shd w:val="clear" w:color="e7e6e6" w:fill="e7e6e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9" w:type="dxa"/>
            <w:vAlign w:val="center"/>
            <w:textDirection w:val="lrTb"/>
            <w:noWrap w:val="false"/>
          </w:tcPr>
          <w:p>
            <w:pPr>
              <w:ind w:left="0" w:right="0" w:firstLine="0"/>
              <w:jc w:val="center"/>
              <w:spacing w:before="0" w:after="0" w:line="360" w:lineRule="auto"/>
              <w:shd w:val="clear" w:color="d9d9d9" w:fill="d9d9d9"/>
              <w:pBdr>
                <w:top w:val="none" w:color="000000" w:sz="4" w:space="0"/>
                <w:left w:val="none" w:color="000000" w:sz="4" w:space="0"/>
                <w:bottom w:val="none" w:color="000000" w:sz="4" w:space="0"/>
                <w:right w:val="none" w:color="000000" w:sz="4" w:space="0"/>
              </w:pBdr>
            </w:pPr>
            <w:r>
              <w:rPr>
                <w:rFonts w:ascii="SimSun" w:hAnsi="SimSun" w:eastAsia="SimSun" w:cs="SimSun"/>
                <w:color w:val="1d1b11"/>
                <w:sz w:val="24"/>
                <w:highlight w:val="lightGray"/>
              </w:rPr>
              <w:t xml:space="preserve">数量</w:t>
            </w:r>
            <w:r/>
          </w:p>
        </w:tc>
        <w:tc>
          <w:tcPr>
            <w:gridSpan w:val="2"/>
            <w:shd w:val="clear" w:color="e7e6e6" w:fill="e7e6e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line="360" w:lineRule="auto"/>
              <w:shd w:val="clear" w:color="d9d9d9" w:fill="d9d9d9"/>
              <w:pBdr>
                <w:top w:val="none" w:color="000000" w:sz="4" w:space="0"/>
                <w:left w:val="none" w:color="000000" w:sz="4" w:space="0"/>
                <w:bottom w:val="none" w:color="000000" w:sz="4" w:space="0"/>
                <w:right w:val="none" w:color="000000" w:sz="4" w:space="0"/>
              </w:pBdr>
            </w:pPr>
            <w:r>
              <w:rPr>
                <w:rFonts w:ascii="SimSun" w:hAnsi="SimSun" w:eastAsia="SimSun" w:cs="SimSun"/>
                <w:color w:val="1d1b11"/>
                <w:sz w:val="24"/>
                <w:highlight w:val="lightGray"/>
              </w:rPr>
              <w:t xml:space="preserve">单位</w:t>
            </w:r>
            <w:r/>
          </w:p>
        </w:tc>
      </w:tr>
      <w:tr>
        <w:trPr>
          <w:trHeight w:val="12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6" w:type="dxa"/>
            <w:vAlign w:val="center"/>
            <w:vMerge w:val="restart"/>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信息化核查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vMerge w:val="restart"/>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PC端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矫正对象管理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8" w:type="dxa"/>
            <w:vAlign w:val="center"/>
            <w:textDirection w:val="lrTb"/>
            <w:noWrap w:val="false"/>
          </w:tcPr>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★基本信息管理，指通过添加或导入的方式输入矫正人员基础信息，支持对人员进</w:t>
            </w:r>
            <w:r>
              <w:rPr>
                <w:rFonts w:ascii="SimSun" w:hAnsi="SimSun" w:eastAsia="SimSun" w:cs="SimSun"/>
                <w:color w:val="000000"/>
                <w:sz w:val="24"/>
                <w:szCs w:val="24"/>
              </w:rPr>
              <w:t xml:space="preserve">行新增、修改、批量解矫、查看、查询等</w:t>
            </w:r>
            <w:r>
              <w:rPr>
                <w:rFonts w:ascii="SimSun" w:hAnsi="SimSun" w:eastAsia="SimSun" w:cs="SimSun"/>
                <w:color w:val="000000"/>
                <w:sz w:val="24"/>
                <w:szCs w:val="24"/>
              </w:rPr>
              <w:t xml:space="preserve">管理操作功能</w:t>
            </w:r>
            <w:r>
              <w:rPr>
                <w:rFonts w:ascii="SimSun" w:hAnsi="SimSun" w:eastAsia="SimSun" w:cs="SimSun"/>
                <w:color w:val="000000"/>
                <w:sz w:val="24"/>
                <w:szCs w:val="24"/>
              </w:rPr>
              <w:t xml:space="preserve">；</w:t>
            </w:r>
            <w:r>
              <w:rPr>
                <w:rFonts w:ascii="SimSun" w:hAnsi="SimSun" w:eastAsia="SimSun" w:cs="SimSun"/>
                <w:color w:val="000000"/>
                <w:sz w:val="24"/>
                <w:szCs w:val="24"/>
              </w:rPr>
              <w:t xml:space="preserve">矫正对象信息</w:t>
            </w:r>
            <w:r>
              <w:rPr>
                <w:rFonts w:ascii="SimSun" w:hAnsi="SimSun" w:eastAsia="SimSun" w:cs="SimSun"/>
                <w:color w:val="000000"/>
                <w:sz w:val="24"/>
                <w:szCs w:val="24"/>
              </w:rPr>
              <w:t xml:space="preserve">包含但不限于所属机构、矫正类型、管理级别、姓名、定位电话、活动区域</w:t>
            </w:r>
            <w:r>
              <w:rPr>
                <w:rFonts w:ascii="SimSun" w:hAnsi="SimSun" w:eastAsia="SimSun" w:cs="SimSun"/>
                <w:color w:val="000000"/>
                <w:sz w:val="24"/>
              </w:rPr>
              <w:t xml:space="preserve">、人脸照片、居住地址、入矫时间、解除时间、矫正状态、定位信息管理；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9"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6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逾期矫正管理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8" w:type="dxa"/>
            <w:vAlign w:val="center"/>
            <w:textDirection w:val="lrTb"/>
            <w:noWrap w:val="false"/>
          </w:tcPr>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rPr>
                <w:rFonts w:ascii="SimSun" w:hAnsi="SimSun" w:eastAsia="SimSun" w:cs="SimSun"/>
                <w:color w:val="000000"/>
                <w:sz w:val="24"/>
                <w:szCs w:val="24"/>
              </w:rPr>
              <w:t xml:space="preserve">员</w:t>
            </w:r>
            <w:r>
              <w:rPr>
                <w:rFonts w:ascii="SimSun" w:hAnsi="SimSun" w:eastAsia="SimSun" w:cs="SimSun"/>
                <w:color w:val="000000"/>
                <w:sz w:val="24"/>
                <w:szCs w:val="24"/>
              </w:rPr>
              <w:t xml:space="preserve">矫正期满</w:t>
            </w:r>
            <w:r>
              <w:rPr>
                <w:rFonts w:ascii="SimSun" w:hAnsi="SimSun" w:eastAsia="SimSun" w:cs="SimSun"/>
                <w:color w:val="000000"/>
                <w:sz w:val="24"/>
                <w:szCs w:val="24"/>
              </w:rPr>
              <w:t xml:space="preserve">自动解矫，支持查询、解矫、批量解矫已</w:t>
            </w:r>
            <w:r>
              <w:rPr>
                <w:rFonts w:ascii="SimSun" w:hAnsi="SimSun" w:eastAsia="SimSun" w:cs="SimSun"/>
                <w:color w:val="000000"/>
                <w:sz w:val="24"/>
              </w:rPr>
              <w:t xml:space="preserve">接收的在矫人员信息；包含但不限于所属机构、矫正对象所属区域、矫正类型、预解矫时间等字段管理；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9"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6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8" w:type="dxa"/>
            <w:vAlign w:val="center"/>
            <w:textDirection w:val="lrTb"/>
            <w:noWrap w:val="false"/>
          </w:tcPr>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系统支持</w:t>
            </w:r>
            <w:r>
              <w:rPr>
                <w:rFonts w:ascii="SimSun" w:hAnsi="SimSun" w:eastAsia="SimSun" w:cs="SimSun"/>
                <w:color w:val="000000"/>
                <w:sz w:val="24"/>
                <w:szCs w:val="24"/>
              </w:rPr>
              <w:t xml:space="preserve">矫正机构、人员管理、权限管理、电话簿等配置管理，支持新增、修改、查</w:t>
            </w:r>
            <w:r>
              <w:rPr>
                <w:rFonts w:ascii="SimSun" w:hAnsi="SimSun" w:eastAsia="SimSun" w:cs="SimSun"/>
                <w:color w:val="000000"/>
                <w:sz w:val="24"/>
              </w:rPr>
              <w:t xml:space="preserve">看、删除等管理操作；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9"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6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签到配置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8" w:type="dxa"/>
            <w:vAlign w:val="center"/>
            <w:textDirection w:val="lrTb"/>
            <w:noWrap w:val="false"/>
          </w:tcPr>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支持配置社区矫正对象按照要求的时间段进行签到；当前要求每名矫正人员每天早上和下午各打卡一次；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9"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6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自动抽查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8" w:type="dxa"/>
            <w:vAlign w:val="center"/>
            <w:textDirection w:val="lrTb"/>
            <w:noWrap w:val="false"/>
          </w:tcPr>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★支持自定义自动抽查规则配置，系统自动按照抽查规则对社区矫正对象进行抽查，矫正对象APP上收到消息后在要求时间内签到位置信息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9"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6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定位管理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8" w:type="dxa"/>
            <w:vAlign w:val="center"/>
            <w:textDirection w:val="lrTb"/>
            <w:noWrap w:val="false"/>
          </w:tcPr>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包含定位日志、定位异常、定位开通、历史轨迹、电子围栏设置等功能，包含但不限于所属部门、姓名、手机号、定位时间等；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9"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9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手机定位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8" w:type="dxa"/>
            <w:vAlign w:val="center"/>
            <w:textDirection w:val="lrTb"/>
            <w:noWrap w:val="false"/>
          </w:tcPr>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看社区矫正人员最新的手机定位信息，支持筛选、点选、勾选人员定位信息和地图上的定位显示；包含但不限于所属机构、矫正类型、管理等级、姓名、定位电话、活动区域、是否越界、定位地点、定位时间、历史轨迹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9"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9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消息提醒</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8" w:type="dxa"/>
            <w:vAlign w:val="center"/>
            <w:textDirection w:val="lrTb"/>
            <w:noWrap w:val="false"/>
          </w:tcPr>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★针对存在异常未签到或者定位异常的矫正对象信息，平台首页信息提醒，支持在页面进行审核办理；包含但不限于所属机构、矫正对象、定位方式、定位告警时间、定位告警位置、活动范围、审核结果等；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9"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6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信息化核查报表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8" w:type="dxa"/>
            <w:vAlign w:val="center"/>
            <w:textDirection w:val="lrTb"/>
            <w:noWrap w:val="false"/>
          </w:tcPr>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支持信息化核查结果报表查看及导出；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9"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3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预警管理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8" w:type="dxa"/>
            <w:vAlign w:val="center"/>
            <w:textDirection w:val="lrTb"/>
            <w:noWrap w:val="false"/>
          </w:tcPr>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对定位异常信息包含未按规定时间签到、未回应人工抽查、未回应自动抽查等汇总及详情展示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9"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6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管理等级评定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8" w:type="dxa"/>
            <w:vAlign w:val="center"/>
            <w:textDirection w:val="lrTb"/>
            <w:noWrap w:val="false"/>
          </w:tcPr>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根据信息化核查规则遵守情况对矫正对象进行</w:t>
            </w:r>
            <w:r>
              <w:rPr>
                <w:rFonts w:ascii="SimSun" w:hAnsi="SimSun" w:eastAsia="SimSun" w:cs="SimSun"/>
                <w:color w:val="000000"/>
                <w:sz w:val="24"/>
                <w:szCs w:val="24"/>
              </w:rPr>
              <w:t xml:space="preserve">分级分类，</w:t>
            </w:r>
            <w:r>
              <w:rPr>
                <w:rFonts w:ascii="SimSun" w:hAnsi="SimSun" w:eastAsia="SimSun" w:cs="SimSun"/>
                <w:color w:val="000000"/>
                <w:sz w:val="24"/>
                <w:szCs w:val="24"/>
              </w:rPr>
              <w:t xml:space="preserve">不遵守管理规定的人员会调高管理等级，</w:t>
            </w:r>
            <w:r>
              <w:rPr>
                <w:rFonts w:ascii="SimSun" w:hAnsi="SimSun" w:eastAsia="SimSun" w:cs="SimSun"/>
                <w:color w:val="000000"/>
                <w:sz w:val="24"/>
                <w:szCs w:val="24"/>
              </w:rPr>
              <w:t xml:space="preserve">在本</w:t>
            </w:r>
            <w:r>
              <w:rPr>
                <w:rFonts w:ascii="SimSun" w:hAnsi="SimSun" w:eastAsia="SimSun" w:cs="SimSun"/>
                <w:color w:val="000000"/>
                <w:sz w:val="24"/>
              </w:rPr>
              <w:t xml:space="preserve">页面进行管理；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9"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6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管理等级预警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8" w:type="dxa"/>
            <w:vAlign w:val="center"/>
            <w:textDirection w:val="lrTb"/>
            <w:noWrap w:val="false"/>
          </w:tcPr>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★根据判定规则，如矫正对象达成更高管理等级的情形进行预警，包含但不限于所属机构、矫正对象、变更时间、原管理级别、新管理级别、变革事由、操作等；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9"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3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管理等级变更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8" w:type="dxa"/>
            <w:vAlign w:val="center"/>
            <w:textDirection w:val="lrTb"/>
            <w:noWrap w:val="false"/>
          </w:tcPr>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根据信息化核查情况根基管理登记评定规则，自动变更矫正人员的管理等级；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9"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3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公安预警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8" w:type="dxa"/>
            <w:vAlign w:val="center"/>
            <w:textDirection w:val="lrTb"/>
            <w:noWrap w:val="false"/>
          </w:tcPr>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公安针对矫正人员管理模型产生预警信息的列表展示；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9"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3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vMerge w:val="restart"/>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移动端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移动端签到上报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8" w:type="dxa"/>
            <w:vAlign w:val="center"/>
            <w:textDirection w:val="lrTb"/>
            <w:noWrap w:val="false"/>
          </w:tcPr>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★打卡定位，支持人脸识别签到及签到时需要与定位规则比对，避免虚拟定位或人机分离情况。</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9"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3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活体检测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8" w:type="dxa"/>
            <w:vAlign w:val="center"/>
            <w:textDirection w:val="lrTb"/>
            <w:noWrap w:val="false"/>
          </w:tcPr>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★人脸识别和活体检测功能接入识别，识别结果反馈到管理后台；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9"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3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结果回传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8" w:type="dxa"/>
            <w:vAlign w:val="center"/>
            <w:textDirection w:val="lrTb"/>
            <w:noWrap w:val="false"/>
          </w:tcPr>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★将定位打卡、人脸识别、活体检测功能传回管理平台；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9"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3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消息提醒</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8" w:type="dxa"/>
            <w:vAlign w:val="center"/>
            <w:textDirection w:val="lrTb"/>
            <w:noWrap w:val="false"/>
          </w:tcPr>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对抽查信息，签到信息、预警信息进行提示；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9"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dxa"/>
            <w:vAlign w:val="bottom"/>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个人中心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8" w:type="dxa"/>
            <w:vAlign w:val="bottom"/>
            <w:textDirection w:val="lrTb"/>
            <w:noWrap w:val="false"/>
          </w:tcPr>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对个人信息进行查看和维护；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9"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4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系统适配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8" w:type="dxa"/>
            <w:vAlign w:val="bottom"/>
            <w:textDirection w:val="lrTb"/>
            <w:noWrap w:val="false"/>
          </w:tcPr>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★移动端的功能需适配安卓、苹果IOS、鸿蒙等所有手机操作系统；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9"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4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6" w:type="dxa"/>
            <w:vAlign w:val="center"/>
            <w:vMerge w:val="restart"/>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接口调用</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7"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人脸活体检测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8" w:type="dxa"/>
            <w:vAlign w:val="bottom"/>
            <w:textDirection w:val="lrTb"/>
            <w:noWrap w:val="false"/>
          </w:tcPr>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用Depth图像判断人脸的3D性，可以防御2D攻击如手机、电脑等显示屏和打印照片；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9"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p>
        </w:tc>
      </w:tr>
      <w:tr>
        <w:trPr>
          <w:trHeight w:val="6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7"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人脸1:1比对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8" w:type="dxa"/>
            <w:vAlign w:val="center"/>
            <w:textDirection w:val="lrTb"/>
            <w:noWrap w:val="false"/>
          </w:tcPr>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人脸识别就是通过设备获取用户的面部图像，再利用核心的算法对其脸部的五官位置、脸型和角度进行计算分析，进而和自身数据库里已有的范本进行比对，判断出用户的真实身份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9"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p>
        </w:tc>
      </w:tr>
      <w:tr>
        <w:trPr>
          <w:trHeight w:val="6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7"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矫正人员信息接口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8" w:type="dxa"/>
            <w:vAlign w:val="center"/>
            <w:textDirection w:val="lrTb"/>
            <w:noWrap w:val="false"/>
          </w:tcPr>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提供矫正对象新增接口、矫正对象修改接口、矫正对象解除接口、矫正对象定位接口四个接口；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9"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4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7"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公安预警接口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8" w:type="dxa"/>
            <w:vAlign w:val="bottom"/>
            <w:textDirection w:val="lrTb"/>
            <w:noWrap w:val="false"/>
          </w:tcPr>
          <w:p>
            <w:pPr>
              <w:ind w:left="0" w:right="0" w:firstLine="0"/>
              <w:spacing w:before="0" w:after="0" w:line="360" w:lineRule="auto"/>
              <w:shd w:val="clear" w:color="ffffff" w:fill="ffffff"/>
              <w:rPr>
                <w:rFonts w:ascii="SimSun" w:hAnsi="SimSun" w:eastAsia="SimSun" w:cs="SimSun"/>
                <w:b/>
                <w:bCs/>
                <w:i/>
                <w:color w:val="000000"/>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公安针对矫正人员管理模型产生预警信息的信息推送；</w:t>
            </w:r>
            <w:r>
              <w:rPr>
                <w:rFonts w:ascii="SimSun" w:hAnsi="SimSun" w:eastAsia="SimSun" w:cs="SimSun"/>
                <w:b/>
                <w:bCs/>
                <w:i/>
                <w:iCs/>
                <w:color w:val="000000"/>
                <w:sz w:val="24"/>
                <w:szCs w:val="24"/>
                <w:u w:val="single"/>
              </w:rPr>
              <w:t xml:space="preserve">★供应商需承诺能够无缝对接</w:t>
            </w:r>
            <w:r>
              <w:rPr>
                <w:rFonts w:ascii="SimSun" w:hAnsi="SimSun" w:eastAsia="SimSun" w:cs="SimSun"/>
                <w:b/>
                <w:bCs/>
                <w:i/>
                <w:iCs/>
                <w:color w:val="000000"/>
                <w:sz w:val="24"/>
                <w:szCs w:val="24"/>
                <w:u w:val="single"/>
              </w:rPr>
              <w:t xml:space="preserve">公安局海陵分局</w:t>
            </w:r>
            <w:r>
              <w:rPr>
                <w:rFonts w:ascii="SimSun" w:hAnsi="SimSun" w:eastAsia="SimSun" w:cs="SimSun"/>
                <w:b/>
                <w:bCs/>
                <w:i/>
                <w:iCs/>
                <w:color w:val="000000"/>
                <w:sz w:val="24"/>
                <w:szCs w:val="24"/>
                <w:u w:val="single"/>
              </w:rPr>
              <w:t xml:space="preserve">管控人员风控调度平台。</w:t>
            </w:r>
            <w:r>
              <w:rPr>
                <w:rFonts w:ascii="SimSun" w:hAnsi="SimSun" w:eastAsia="SimSun" w:cs="SimSun"/>
                <w:b/>
                <w:bCs/>
                <w:i/>
                <w:iCs/>
                <w:color w:val="000000"/>
                <w:sz w:val="24"/>
                <w:szCs w:val="24"/>
                <w:u w:val="singl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9"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gridAfter w:val="1"/>
          <w:trHeight w:val="4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语音机器人</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7"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语音机器人平台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8" w:type="dxa"/>
            <w:vAlign w:val="center"/>
            <w:textDirection w:val="lrTb"/>
            <w:noWrap w:val="false"/>
          </w:tcPr>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语音</w:t>
            </w:r>
            <w:r>
              <w:rPr>
                <w:rFonts w:ascii="SimSun" w:hAnsi="SimSun" w:eastAsia="SimSun" w:cs="SimSun"/>
                <w:color w:val="000000"/>
                <w:sz w:val="24"/>
                <w:szCs w:val="24"/>
              </w:rPr>
              <w:t xml:space="preserve">机器</w:t>
            </w:r>
            <w:r>
              <w:rPr>
                <w:rFonts w:ascii="SimSun" w:hAnsi="SimSun" w:eastAsia="SimSun" w:cs="SimSun"/>
                <w:color w:val="000000"/>
                <w:sz w:val="24"/>
              </w:rPr>
              <w:t xml:space="preserve">人功能费用，包含三年；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9"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p>
        </w:tc>
      </w:tr>
    </w:tbl>
    <w:p>
      <w:pPr>
        <w:pStyle w:val="646"/>
        <w:ind w:left="0" w:right="0" w:firstLine="0"/>
        <w:jc w:val="both"/>
        <w:spacing w:before="280" w:after="29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46"/>
        <w:ind w:left="0" w:right="0" w:firstLine="0"/>
        <w:jc w:val="both"/>
        <w:spacing w:before="280" w:after="29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4.维护要求</w:t>
      </w:r>
      <w:r/>
    </w:p>
    <w:p>
      <w:pPr>
        <w:ind w:left="0" w:right="0" w:firstLine="480"/>
        <w:spacing w:before="240" w:after="24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涉及软件均需独立部署，部署所需云服务器由供应商承担，服务期限内提供7*24故障实时响应服务，较小故障3小时内排除，如遇重大故障第一时间出具可行方案，相关技术人员24小时内解决故障，并书面提交情况报告。</w:t>
      </w:r>
      <w:r/>
    </w:p>
    <w:p>
      <w:pPr>
        <w:pStyle w:val="646"/>
        <w:ind w:left="0" w:right="0" w:firstLine="0"/>
        <w:jc w:val="both"/>
        <w:spacing w:before="280" w:after="29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5.培训要求</w:t>
      </w:r>
      <w:r/>
    </w:p>
    <w:p>
      <w:pPr>
        <w:ind w:left="0" w:right="0" w:firstLine="480"/>
        <w:spacing w:before="240" w:after="24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内派相关技术人员到现场为采购人单位使用人员进行两次培训，制定详细、切实可行的培训方案，方案包含培训师资、方式、课程等内容，确保采购人单位使用人员可对平台进行独立熟练操作和处理基本的技术问题。</w:t>
      </w:r>
      <w:r/>
    </w:p>
    <w:p>
      <w:pPr>
        <w:pStyle w:val="646"/>
        <w:ind w:left="0" w:right="0" w:firstLine="0"/>
        <w:jc w:val="both"/>
        <w:spacing w:before="280" w:after="29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6.商务要求</w:t>
      </w:r>
      <w:r/>
    </w:p>
    <w:p>
      <w:pPr>
        <w:ind w:left="0" w:right="0" w:firstLine="413"/>
        <w:jc w:val="both"/>
        <w:spacing w:before="12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1、交货期：自合同签订之日</w:t>
      </w:r>
      <w:r>
        <w:rPr>
          <w:rFonts w:ascii="SimSun" w:hAnsi="SimSun" w:eastAsia="SimSun" w:cs="SimSun"/>
          <w:b/>
          <w:bCs/>
          <w:i/>
          <w:iCs/>
          <w:color w:val="000000"/>
          <w:sz w:val="24"/>
          <w:szCs w:val="24"/>
          <w:u w:val="single"/>
        </w:rPr>
        <w:t xml:space="preserve">起</w:t>
      </w:r>
      <w:r>
        <w:rPr>
          <w:rFonts w:ascii="SimSun" w:hAnsi="SimSun" w:eastAsia="SimSun" w:cs="SimSun"/>
          <w:b/>
          <w:bCs/>
          <w:i/>
          <w:iCs/>
          <w:color w:val="000000"/>
          <w:sz w:val="24"/>
          <w:szCs w:val="24"/>
          <w:u w:val="single"/>
        </w:rPr>
        <w:t xml:space="preserve">15</w:t>
      </w:r>
      <w:r>
        <w:rPr>
          <w:rFonts w:ascii="SimSun" w:hAnsi="SimSun" w:eastAsia="SimSun" w:cs="SimSun"/>
          <w:b/>
          <w:bCs/>
          <w:i/>
          <w:iCs/>
          <w:color w:val="000000"/>
          <w:sz w:val="24"/>
          <w:szCs w:val="24"/>
          <w:u w:val="single"/>
        </w:rPr>
        <w:t xml:space="preserve">个工作</w:t>
      </w:r>
      <w:r>
        <w:rPr>
          <w:rFonts w:ascii="SimSun" w:hAnsi="SimSun" w:eastAsia="SimSun" w:cs="SimSun"/>
          <w:b/>
          <w:i/>
          <w:color w:val="000000"/>
          <w:sz w:val="24"/>
          <w:u w:val="single"/>
        </w:rPr>
        <w:t xml:space="preserve">日内完成开发、部署、集成和测试等工作，进入试运行阶段。</w:t>
      </w:r>
      <w:r/>
    </w:p>
    <w:p>
      <w:pPr>
        <w:ind w:left="0" w:right="0" w:firstLine="413"/>
        <w:jc w:val="both"/>
        <w:spacing w:before="12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2、交货地点：泰州市海陵区司法局。</w:t>
      </w:r>
      <w:r/>
    </w:p>
    <w:p>
      <w:pPr>
        <w:ind w:left="0" w:right="0" w:firstLine="413"/>
        <w:jc w:val="both"/>
        <w:spacing w:before="12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3、支付方式：签订合同后支付成交总金额的10%作为预付款；项目最终验收通过后支付至100%。对于满足合同约定支付条件的，采购人原则上应当自收到发票后10个工作日内将资金支付到合同约定的供应商账户。</w:t>
      </w:r>
      <w:r/>
    </w:p>
    <w:p>
      <w:pPr>
        <w:pStyle w:val="646"/>
        <w:ind w:left="0" w:right="0" w:firstLine="0"/>
        <w:jc w:val="both"/>
        <w:spacing w:before="280" w:after="29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7.演示方式 ：上传视频演示</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按照磋商文件规定的演示内容制作演示视频文件，视频文件的格式为*.mp4或*.avi，供应商须将视频文件分段压缩为*.zip文件上传（单个文件不得大于50M，所有文件总共不得大于300M）。文件上传方式见《操作手册》规定，上传的演示视频将作为响应文件的组成部分，视频时长总计不超过</w:t>
      </w:r>
      <w:r>
        <w:rPr>
          <w:rFonts w:ascii="SimSun" w:hAnsi="SimSun" w:eastAsia="SimSun" w:cs="SimSun"/>
          <w:color w:val="000000"/>
          <w:sz w:val="24"/>
          <w:u w:val="single"/>
        </w:rPr>
        <w:t xml:space="preserve">15</w:t>
      </w:r>
      <w:r>
        <w:rPr>
          <w:rFonts w:ascii="SimSun" w:hAnsi="SimSun" w:eastAsia="SimSun" w:cs="SimSun"/>
          <w:color w:val="000000"/>
          <w:sz w:val="24"/>
        </w:rPr>
        <w:t xml:space="preserve">分钟。</w:t>
      </w:r>
      <w:r/>
    </w:p>
    <w:p>
      <w:pPr>
        <w:pStyle w:val="646"/>
        <w:ind w:left="0" w:right="0" w:firstLine="0"/>
        <w:jc w:val="both"/>
        <w:spacing w:before="280" w:after="290" w:line="360" w:lineRule="auto"/>
        <w:shd w:val="clear" w:color="ffffff" w:fill="ffffff"/>
        <w:rPr>
          <w:rFonts w:ascii="SimHei" w:hAnsi="SimHei" w:eastAsia="SimHei" w:cs="SimHei"/>
          <w:b/>
          <w:bCs/>
          <w:color w:val="000000"/>
          <w:sz w:val="28"/>
          <w:szCs w:val="28"/>
          <w14:ligatures w14:val="none"/>
        </w:rPr>
        <w:pBdr>
          <w:top w:val="none" w:color="000000" w:sz="4" w:space="0"/>
          <w:left w:val="none" w:color="000000" w:sz="4" w:space="0"/>
          <w:bottom w:val="none" w:color="000000" w:sz="4" w:space="0"/>
          <w:right w:val="none" w:color="000000" w:sz="4" w:space="0"/>
        </w:pBdr>
      </w:pPr>
      <w:r>
        <w:rPr>
          <w:rFonts w:ascii="SimHei" w:hAnsi="SimHei" w:eastAsia="SimHei" w:cs="SimHei"/>
          <w:b/>
          <w:bCs/>
          <w:color w:val="000000"/>
          <w:sz w:val="28"/>
          <w:szCs w:val="28"/>
        </w:rPr>
        <w:t xml:space="preserve"> </w:t>
      </w:r>
      <w:r>
        <w:rPr>
          <w:rFonts w:ascii="SimHei" w:hAnsi="SimHei" w:eastAsia="SimHei" w:cs="SimHei"/>
          <w:b/>
          <w:bCs/>
          <w:color w:val="000000"/>
          <w:sz w:val="28"/>
          <w:szCs w:val="28"/>
        </w:rPr>
        <w:t xml:space="preserve">8.采购标的对应的中小企业划分标准所属行业一览表</w:t>
      </w:r>
      <w:r>
        <w:rPr>
          <w:rFonts w:ascii="SimHei" w:hAnsi="SimHei" w:eastAsia="SimHei" w:cs="SimHei"/>
          <w:b/>
          <w:bCs/>
          <w:color w:val="000000"/>
          <w:sz w:val="28"/>
          <w:szCs w:val="28"/>
        </w:rP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6"/>
        <w:gridCol w:w="4535"/>
        <w:gridCol w:w="4003"/>
      </w:tblGrid>
      <w:tr>
        <w:trPr>
          <w:trHeight w:val="6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both"/>
              <w:spacing w:before="0" w:after="0" w:line="85" w:lineRule="atLeast"/>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序号</w:t>
            </w:r>
            <w:r>
              <w:rPr>
                <w:rFonts w:ascii="SimSun" w:hAnsi="SimSun" w:eastAsia="SimSun" w:cs="SimSun"/>
                <w:color w:val="000000"/>
                <w:sz w:val="24"/>
                <w:szCs w:val="24"/>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both"/>
              <w:spacing w:before="0" w:after="0" w:line="85" w:lineRule="atLeast"/>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采购标的</w:t>
            </w:r>
            <w:r>
              <w:rPr>
                <w:rFonts w:ascii="SimSun" w:hAnsi="SimSun" w:eastAsia="SimSun" w:cs="SimSun"/>
                <w:color w:val="000000"/>
                <w:sz w:val="24"/>
                <w:szCs w:val="24"/>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03" w:type="dxa"/>
            <w:vAlign w:val="center"/>
            <w:textDirection w:val="lrTb"/>
            <w:noWrap w:val="false"/>
          </w:tcPr>
          <w:p>
            <w:pPr>
              <w:ind w:left="0" w:right="0" w:firstLine="0"/>
              <w:jc w:val="both"/>
              <w:spacing w:before="0" w:after="0" w:line="85" w:lineRule="atLeast"/>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对应中小企业划分标准所属行业</w:t>
            </w:r>
            <w:r>
              <w:rPr>
                <w:rFonts w:ascii="SimSun" w:hAnsi="SimSun" w:eastAsia="SimSun" w:cs="SimSun"/>
                <w:color w:val="000000"/>
                <w:sz w:val="24"/>
                <w:szCs w:val="24"/>
              </w:rPr>
            </w:r>
          </w:p>
        </w:tc>
      </w:tr>
      <w:tr>
        <w:trPr>
          <w:trHeight w:val="3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both"/>
              <w:spacing w:before="0" w:after="0" w:line="85" w:lineRule="atLeast"/>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w:t>
            </w:r>
            <w:r>
              <w:rPr>
                <w:rFonts w:ascii="SimSun" w:hAnsi="SimSun" w:eastAsia="SimSun" w:cs="SimSun"/>
                <w:color w:val="000000"/>
                <w:sz w:val="24"/>
                <w:szCs w:val="24"/>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both"/>
              <w:spacing w:before="0" w:after="0" w:line="85" w:lineRule="atLeast"/>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泰州市海陵区司法局矫正人员监管平台建设项目</w:t>
            </w:r>
            <w:r>
              <w:rPr>
                <w:rFonts w:ascii="SimSun" w:hAnsi="SimSun" w:eastAsia="SimSun" w:cs="SimSun"/>
                <w:color w:val="000000"/>
                <w:sz w:val="24"/>
                <w:szCs w:val="24"/>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3" w:type="dxa"/>
            <w:vAlign w:val="center"/>
            <w:textDirection w:val="lrTb"/>
            <w:noWrap w:val="false"/>
          </w:tcPr>
          <w:p>
            <w:pPr>
              <w:ind w:left="0" w:right="0" w:firstLine="0"/>
              <w:jc w:val="both"/>
              <w:spacing w:before="0" w:after="0" w:line="85" w:lineRule="atLeast"/>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软件和信息服务业</w:t>
            </w:r>
            <w:r>
              <w:rPr>
                <w:rFonts w:ascii="SimSun" w:hAnsi="SimSun" w:eastAsia="SimSun" w:cs="SimSun"/>
                <w:color w:val="000000"/>
                <w:sz w:val="24"/>
                <w:szCs w:val="24"/>
              </w:rPr>
            </w:r>
          </w:p>
        </w:tc>
      </w:tr>
    </w:tbl>
    <w:p>
      <w:pPr>
        <w:pStyle w:val="646"/>
        <w:ind w:left="0" w:right="0" w:firstLine="0"/>
        <w:jc w:val="both"/>
        <w:spacing w:before="280" w:after="29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r>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Hei" w:hAnsi="SimHei" w:eastAsia="SimHei" w:cs="SimHei"/>
          <w:color w:val="000000"/>
          <w:sz w:val="44"/>
        </w:rPr>
        <w:t xml:space="preserve">第五章  </w:t>
      </w:r>
      <w:r>
        <w:rPr>
          <w:rFonts w:ascii="SimHei" w:hAnsi="SimHei" w:eastAsia="SimHei" w:cs="SimHei"/>
          <w:b/>
          <w:color w:val="000000"/>
          <w:sz w:val="44"/>
        </w:rPr>
        <w:t xml:space="preserve">评审方法与评审标准</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41"/>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政府采购政策功能落实</w:t>
      </w:r>
      <w:r/>
    </w:p>
    <w:p>
      <w:pPr>
        <w:ind w:left="0" w:right="0" w:firstLine="566"/>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360"/>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（1）本项目对小型和微型企业提供的服务给予20%的扣除价格，用扣除后的价格参与评审。</w:t>
      </w:r>
      <w:r/>
    </w:p>
    <w:p>
      <w:pPr>
        <w:ind w:left="0" w:right="0" w:firstLine="360"/>
        <w:spacing w:before="120" w:after="120" w:line="360" w:lineRule="auto"/>
        <w:shd w:val="clear" w:color="ffffff" w:fill="ffffff"/>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w:t>
      </w:r>
      <w:r>
        <w:rPr>
          <w:rFonts w:ascii="SimSun" w:hAnsi="SimSun" w:eastAsia="SimSun" w:cs="SimSun"/>
          <w:color w:val="000000"/>
          <w:sz w:val="24"/>
          <w:szCs w:val="24"/>
        </w:rPr>
        <w:t xml:space="preserve">要求提供相应的《</w:t>
      </w:r>
      <w:r>
        <w:rPr>
          <w:rFonts w:ascii="SimSun" w:hAnsi="SimSun" w:eastAsia="SimSun" w:cs="SimSun"/>
          <w:color w:val="000000"/>
          <w:sz w:val="24"/>
          <w:szCs w:val="24"/>
        </w:rPr>
        <w:t xml:space="preserve">中小微企业声明函</w:t>
      </w:r>
      <w:r>
        <w:rPr>
          <w:rFonts w:ascii="SimSun" w:hAnsi="SimSun" w:eastAsia="SimSun" w:cs="SimSun"/>
          <w:color w:val="000000"/>
          <w:sz w:val="24"/>
          <w:szCs w:val="24"/>
        </w:rPr>
        <w:t xml:space="preserve">》。</w:t>
      </w:r>
      <w:r>
        <w:rPr>
          <w:rFonts w:ascii="SimSun" w:hAnsi="SimSun" w:eastAsia="SimSun" w:cs="SimSun"/>
          <w:color w:val="000000"/>
          <w:sz w:val="24"/>
          <w:szCs w:val="24"/>
        </w:rPr>
      </w:r>
      <w:r/>
    </w:p>
    <w:p>
      <w:pPr>
        <w:ind w:left="0" w:right="0" w:firstLine="360"/>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566"/>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360"/>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360"/>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360"/>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566"/>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566"/>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566"/>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6%</w:t>
      </w:r>
      <w:r>
        <w:rPr>
          <w:rFonts w:ascii="SimSun" w:hAnsi="SimSun" w:eastAsia="SimSun" w:cs="SimSun"/>
          <w:color w:val="000000"/>
          <w:sz w:val="24"/>
        </w:rPr>
        <w:t xml:space="preserve">的价格扣除，用扣除后的价格参与评审。</w:t>
      </w:r>
      <w:r/>
    </w:p>
    <w:p>
      <w:pPr>
        <w:ind w:left="0" w:right="0" w:firstLine="566"/>
        <w:spacing w:before="120" w:after="24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20%</w:t>
      </w:r>
      <w:r>
        <w:rPr>
          <w:rFonts w:ascii="SimSun" w:hAnsi="SimSun" w:eastAsia="SimSun" w:cs="SimSun"/>
          <w:color w:val="000000"/>
          <w:sz w:val="24"/>
        </w:rPr>
        <w:t xml:space="preserve">价格扣除，用扣除后的价格参与评审。</w:t>
      </w:r>
      <w:r/>
    </w:p>
    <w:p>
      <w:pPr>
        <w:ind w:left="0" w:right="0" w:firstLine="482"/>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评审方法与评审标准</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62"/>
        <w:gridCol w:w="7681"/>
      </w:tblGrid>
      <w:tr>
        <w:trPr>
          <w:trHeight w:val="50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line="360" w:lineRule="auto"/>
              <w:shd w:val="clear" w:color="ffffff" w:fill="ffffff"/>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 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81" w:type="dxa"/>
            <w:vAlign w:val="center"/>
            <w:textDirection w:val="lrTb"/>
            <w:noWrap w:val="false"/>
          </w:tcPr>
          <w:p>
            <w:pPr>
              <w:ind w:left="0" w:right="0" w:firstLine="0"/>
              <w:jc w:val="center"/>
              <w:spacing w:before="0" w:after="0" w:line="360" w:lineRule="auto"/>
              <w:shd w:val="clear" w:color="ffffff" w:fill="ffffff"/>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r>
      <w:tr>
        <w:trPr>
          <w:trHeight w:val="160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line="360" w:lineRule="auto"/>
              <w:shd w:val="clear" w:color="ffffff" w:fill="ffffff"/>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p>
            <w:pPr>
              <w:ind w:left="0" w:right="0" w:firstLine="0"/>
              <w:jc w:val="center"/>
              <w:spacing w:before="0" w:after="0" w:line="360" w:lineRule="auto"/>
              <w:shd w:val="clear" w:color="ffffff" w:fill="ffffff"/>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81" w:type="dxa"/>
            <w:vAlign w:val="center"/>
            <w:textDirection w:val="lrTb"/>
            <w:noWrap w:val="false"/>
          </w:tcPr>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采用低价优先法计算，即满足磋商文件要求且磋商价格最低的供应商价格为磋商基准价，其价格分为满分。其他供应商的价格分统一按照下列公式计算：磋商报价得分=（磋商基准价/最终磋商报价）×10%×100。</w:t>
            </w:r>
            <w:r/>
          </w:p>
        </w:tc>
      </w:tr>
      <w:tr>
        <w:trPr>
          <w:trHeight w:val="5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2" w:type="dxa"/>
            <w:vAlign w:val="center"/>
            <w:vMerge w:val="restart"/>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81" w:type="dxa"/>
            <w:vAlign w:val="center"/>
            <w:textDirection w:val="lrTb"/>
            <w:noWrap w:val="false"/>
          </w:tcPr>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基础功能参数（24分）</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根据各供应商所提供产品详细技术指标及功能介绍，系统的安全性、稳定性、操作性等方面，全面满足技术要求的得24分。其中带★项</w:t>
            </w:r>
            <w:r>
              <w:rPr>
                <w:rFonts w:ascii="SimSun" w:hAnsi="SimSun" w:eastAsia="SimSun" w:cs="SimSun"/>
                <w:b/>
                <w:color w:val="000000"/>
                <w:sz w:val="24"/>
              </w:rPr>
              <w:t xml:space="preserve">提供相关系统功能截图，</w:t>
            </w:r>
            <w:r>
              <w:rPr>
                <w:rFonts w:ascii="SimSun" w:hAnsi="SimSun" w:eastAsia="SimSun" w:cs="SimSun"/>
                <w:color w:val="000000"/>
                <w:sz w:val="24"/>
              </w:rPr>
              <w:t xml:space="preserve">每有1项不满足的扣2分；其他每有1项不满足扣1分；扣完为止。</w:t>
            </w:r>
            <w:r/>
          </w:p>
        </w:tc>
      </w:tr>
      <w:tr>
        <w:trPr>
          <w:trHeight w:val="54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681" w:type="dxa"/>
            <w:vAlign w:val="center"/>
            <w:textDirection w:val="lrTb"/>
            <w:noWrap w:val="false"/>
          </w:tcPr>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功能演示视频（20分）</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请供应商准备演示环境，录屏演示以下功能点，每少一项扣2分，扣完为止。</w:t>
            </w:r>
            <w:r/>
          </w:p>
          <w:p>
            <w:pPr>
              <w:numPr>
                <w:ilvl w:val="0"/>
                <w:numId w:val="3"/>
              </w:numPr>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信息化核查包括PC端和移动端的所有详细的功能描述点；</w:t>
            </w:r>
            <w:r/>
          </w:p>
          <w:p>
            <w:pPr>
              <w:numPr>
                <w:ilvl w:val="0"/>
                <w:numId w:val="3"/>
              </w:numPr>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人脸活体检测和人脸1:1比对；</w:t>
            </w:r>
            <w:r/>
          </w:p>
          <w:p>
            <w:pPr>
              <w:numPr>
                <w:ilvl w:val="0"/>
                <w:numId w:val="3"/>
              </w:numPr>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管理端实现语音机器人呼叫的电话抽查任务下发，并查看抽查结果；</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2" w:type="dxa"/>
            <w:vAlign w:val="top"/>
            <w:textDirection w:val="lrTb"/>
            <w:noWrap w:val="false"/>
          </w:tcPr>
          <w:p>
            <w:pPr>
              <w:ind w:left="0" w:right="0" w:firstLine="0"/>
              <w:jc w:val="center"/>
              <w:spacing w:before="0" w:after="0" w:line="360" w:lineRule="auto"/>
              <w:shd w:val="clear" w:color="ffffff" w:fill="ffffff"/>
              <w:tabs>
                <w:tab w:val="left" w:pos="1134"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line="360" w:lineRule="auto"/>
              <w:shd w:val="clear" w:color="ffffff" w:fill="ffffff"/>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uto"/>
              <w:shd w:val="clear" w:color="ffffff" w:fill="ffffff"/>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uto"/>
              <w:shd w:val="clear" w:color="ffffff" w:fill="ffffff"/>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培训方案</w:t>
            </w:r>
            <w:r/>
          </w:p>
          <w:p>
            <w:pPr>
              <w:ind w:left="0" w:right="0" w:firstLine="0"/>
              <w:jc w:val="center"/>
              <w:spacing w:before="0" w:after="0" w:line="360" w:lineRule="auto"/>
              <w:shd w:val="clear" w:color="ffffff" w:fill="ffffff"/>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81" w:type="dxa"/>
            <w:vAlign w:val="center"/>
            <w:textDirection w:val="lrTb"/>
            <w:noWrap w:val="false"/>
          </w:tcPr>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培训方案全面合理有效，具有详细的培训计划、培训内容，得10分。</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培训方案不够全面，有效性欠缺，培训计划、培训师资力量、培训内容不够详细，得7分。</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培训方案片面，不具有执行有效性，培训计划、培训师资力量、培训内容不详细，得4分；</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未提供培训方案或方案与本项目严重不符，不得分。</w:t>
            </w:r>
            <w:r/>
          </w:p>
        </w:tc>
      </w:tr>
      <w:tr>
        <w:trPr>
          <w:trHeight w:val="19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2" w:type="dxa"/>
            <w:vAlign w:val="center"/>
            <w:vMerge w:val="restart"/>
            <w:textDirection w:val="lrTb"/>
            <w:noWrap w:val="false"/>
          </w:tcPr>
          <w:p>
            <w:pPr>
              <w:ind w:left="0" w:right="0" w:firstLine="0"/>
              <w:jc w:val="center"/>
              <w:spacing w:before="0" w:after="0" w:line="360" w:lineRule="auto"/>
              <w:shd w:val="clear" w:color="ffffff" w:fill="ffffff"/>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实施方案</w:t>
            </w:r>
            <w:r/>
          </w:p>
          <w:p>
            <w:pPr>
              <w:ind w:left="0" w:right="0" w:firstLine="0"/>
              <w:jc w:val="center"/>
              <w:spacing w:before="0" w:after="0" w:line="360" w:lineRule="auto"/>
              <w:shd w:val="clear" w:color="ffffff" w:fill="ffffff"/>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81" w:type="dxa"/>
            <w:vAlign w:val="center"/>
            <w:textDirection w:val="lrTb"/>
            <w:noWrap w:val="false"/>
          </w:tcPr>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根据供应商提供的项目整体实施方案（包括工作进度、系统安装调试方案等方面）进行评分（10分）：</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方案细致全面、工作安排合理、可行性强，完全响应需求得10分；</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方案较为完整，工作安排、实施进度描述详细且具有可行性得7分；</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方案考虑略有欠缺、存在部分可行性问题的得4分；</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方案太笼统、不贴合实际或未提供不得分。</w:t>
            </w:r>
            <w:r/>
          </w:p>
        </w:tc>
      </w:tr>
      <w:tr>
        <w:trPr>
          <w:trHeight w:val="174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681" w:type="dxa"/>
            <w:vAlign w:val="center"/>
            <w:textDirection w:val="lrTb"/>
            <w:noWrap w:val="false"/>
          </w:tcPr>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对供应商提供的质量保证措施方案进行综合评分（10分）：</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措施科学、严密、合理，描述详细且具有针对性，得10分；</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措施较科学、合理，描述较详细，针对性较强的，得7分；</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措施简单，描述略欠缺，存在一定实施难度的得4分；其余不得分。</w:t>
            </w:r>
            <w:r/>
          </w:p>
        </w:tc>
      </w:tr>
      <w:tr>
        <w:trPr>
          <w:trHeight w:val="30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2" w:type="dxa"/>
            <w:vAlign w:val="center"/>
            <w:vMerge w:val="restart"/>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综合实力</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81" w:type="dxa"/>
            <w:vAlign w:val="center"/>
            <w:textDirection w:val="lrTb"/>
            <w:noWrap w:val="false"/>
          </w:tcPr>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1、人员实力（6分）：</w:t>
            </w:r>
            <w:r>
              <w:rPr>
                <w:rFonts w:ascii="SimSun" w:hAnsi="SimSun" w:eastAsia="SimSun" w:cs="SimSun"/>
                <w:b/>
                <w:color w:val="000000"/>
                <w:sz w:val="24"/>
              </w:rPr>
              <w:t xml:space="preserve">（提供相应的证书或证明材料复印件加盖供应商公章，不提供不得分）</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（1）项目经理具备工程师中级职称及以上的，得3分；</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（2）团队成员具有注册信息安全工程师证书，系统集成项目管理工程师证书，每一个1分，不提供不得分，最高分3分。</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(需提供上述人员所获证书复印件以及供应商为其缴纳的近六个月任意一个月社保缴费证明复印件，并加盖供应商公章，否则不得分)</w:t>
            </w:r>
            <w:r/>
          </w:p>
        </w:tc>
      </w:tr>
      <w:tr>
        <w:trPr>
          <w:trHeight w:val="174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681" w:type="dxa"/>
            <w:vAlign w:val="center"/>
            <w:textDirection w:val="lrTb"/>
            <w:noWrap w:val="false"/>
          </w:tcPr>
          <w:p>
            <w:pPr>
              <w:ind w:left="0" w:right="0" w:firstLine="0"/>
              <w:jc w:val="both"/>
              <w:spacing w:before="0" w:after="0" w:line="360" w:lineRule="auto"/>
              <w:shd w:val="clear" w:color="ffffff" w:fill="ffffff"/>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公司业绩：</w:t>
            </w:r>
            <w:r/>
          </w:p>
          <w:p>
            <w:pPr>
              <w:ind w:left="0" w:right="0" w:firstLine="0"/>
              <w:jc w:val="both"/>
              <w:spacing w:before="0" w:after="0" w:line="360" w:lineRule="auto"/>
              <w:shd w:val="clear" w:color="ffffff" w:fill="ffffff"/>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近三年以来供应商具有类似项目实施案例，每提供1个得1分，满分2分。</w:t>
            </w:r>
            <w:r/>
          </w:p>
          <w:p>
            <w:pPr>
              <w:ind w:left="0" w:right="0" w:firstLine="0"/>
              <w:jc w:val="both"/>
              <w:spacing w:before="0" w:after="0" w:line="360" w:lineRule="auto"/>
              <w:shd w:val="clear" w:color="ffffff" w:fill="ffffff"/>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（提供合同复印件加盖供应商公章）</w:t>
            </w:r>
            <w:r/>
          </w:p>
        </w:tc>
      </w:tr>
      <w:tr>
        <w:trPr>
          <w:trHeight w:val="1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售后服务</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b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81" w:type="dxa"/>
            <w:vAlign w:val="center"/>
            <w:textDirection w:val="lrTb"/>
            <w:noWrap w:val="false"/>
          </w:tcPr>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供应商提供售后服务方案进行评分（8分）：</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售后服务体系基本合理，有明确的人员服务计划，完全响应采购人需求得8分；</w:t>
            </w:r>
            <w:r/>
          </w:p>
          <w:p>
            <w:pPr>
              <w:ind w:left="0" w:right="0" w:firstLine="0"/>
              <w:jc w:val="both"/>
              <w:spacing w:before="0" w:after="0" w:line="360" w:lineRule="auto"/>
              <w:shd w:val="clear" w:color="ffffff" w:fill="ffffff"/>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售后服务体系较为简单，基</w:t>
            </w:r>
            <w:r>
              <w:rPr>
                <w:rFonts w:ascii="SimSun" w:hAnsi="SimSun" w:eastAsia="SimSun" w:cs="SimSun"/>
                <w:color w:val="000000"/>
                <w:sz w:val="24"/>
                <w:szCs w:val="24"/>
              </w:rPr>
              <w:t xml:space="preserve">本符合采购人的需求得6分；</w:t>
            </w:r>
            <w:r>
              <w:rPr>
                <w:rFonts w:ascii="SimSun" w:hAnsi="SimSun" w:eastAsia="SimSun" w:cs="SimSun"/>
                <w:color w:val="000000"/>
                <w:sz w:val="24"/>
                <w:szCs w:val="24"/>
              </w:rPr>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售后服务体系可行性较低、存在部分欠缺</w:t>
            </w:r>
            <w:r>
              <w:rPr>
                <w:rFonts w:ascii="SimSun" w:hAnsi="SimSun" w:eastAsia="SimSun" w:cs="SimSun"/>
                <w:color w:val="000000"/>
                <w:sz w:val="24"/>
              </w:rPr>
              <w:t xml:space="preserve">得4分</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售后服务体系未能响应采购人的需求或未提供不得分。</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rPr>
          <w:rFonts w:ascii="Times New Roman" w:hAnsi="Times New Roman" w:eastAsia="Times New Roman" w:cs="Times New Roman"/>
          <w:color w:val="000000"/>
          <w:sz w:val="20"/>
          <w:highlight w:val="none"/>
        </w:rPr>
        <w:br w:type="page" w:clear="all"/>
      </w:r>
      <w:r>
        <w:rPr>
          <w:rFonts w:ascii="Times New Roman" w:hAnsi="Times New Roman" w:eastAsia="Times New Roman" w:cs="Times New Roman"/>
          <w:color w:val="000000"/>
          <w:sz w:val="20"/>
          <w:highlight w:val="none"/>
        </w:rPr>
      </w:r>
      <w:r/>
    </w:p>
    <w:p>
      <w:pPr>
        <w:ind w:left="0" w:right="0" w:firstLine="0"/>
        <w:jc w:val="center"/>
        <w:spacing w:before="0" w:after="0" w:line="360" w:lineRule="auto"/>
        <w:shd w:val="clear" w:color="ffffff" w:fill="ffffff"/>
        <w:rPr>
          <w:rFonts w:ascii="Times New Roman" w:hAnsi="Times New Roman" w:eastAsia="Times New Roman" w:cs="Times New Roman"/>
          <w:color w:val="000000"/>
          <w:sz w:val="20"/>
          <w:szCs w:val="20"/>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第六章  响应文件格式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响  应  文 件</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3253"/>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响应文件的组成</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一、基本目录</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1.分项报价表（格式见附件1）</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2.技术要求响应及偏离表（格式见附件2）</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3.商务要求响应及偏离表（格式见附件3）</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二、资格审查内容</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1.法人或者其他组织的营业执照等证明文件，自然人的身份证明</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2.上一年度的财务状况报告（供应商成立不满一年无需提供）</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3.依法缴纳税收和社会保障资金的相关材料（提供提交响应文件截止时间前一年</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内至少一个月依法缴纳税收及缴纳社会保障资金的证明材料。供应商依法享受缓缴、免缴税收、社会保障资金的提供证明材料。）</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4.具备履行合同所必需的设备和专业技术能力的书面声明（格式见附件4）</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5.参加政府采购活动前 3 年内在经营活动中没有重大违法记录的书面声明（格式</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见附件5）</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6.特定资格要求的证明文件（如果本项目对供应商做出特定资格要求的，必须提供）</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7.法人授权书（格式见附件6）</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8.响应函（格式见附件7）</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9.中小微企业声明函（如果本项目专门面向中小微型企业采购，则必须提供。格式见附件8）</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10.残疾人福利性单位声明函（如果本项目专门面向中小微型企业采购，供应商为残疾人福利性单位并提供本单位制造的货物，或者提供其他残疾人福利性单位制造的货物，则必须提供。格式见附件9）</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总备注：上述“资格审查内容”中1-5条、7、8条供应商必须在响应文件中提供</w:t>
      </w:r>
      <w:r/>
    </w:p>
    <w:p>
      <w:pPr>
        <w:ind w:left="0" w:right="0" w:firstLine="0"/>
        <w:jc w:val="both"/>
        <w:spacing w:before="0" w:after="29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相关材料，否则作无效响应处理；6、9、10条如磋商文件要求必须提供相关材料而未提供的，作无效响应处理。</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三、符合性审查内容</w:t>
      </w:r>
      <w:r/>
    </w:p>
    <w:p>
      <w:pPr>
        <w:ind w:left="0" w:right="0" w:firstLine="480"/>
        <w:jc w:val="both"/>
        <w:spacing w:before="0" w:after="29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供应商必须对技术要求和商务要求中加斜体下划线的实质性要求逐条做出响应，并按照磋商文件要求提供证明材料，否则做无效响应处理。（格式见附件10）</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四、价格扣除证明文件</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1.中小微企业声明函（格式见附件8）</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2.残疾人福利性单位声明函（格式见附件9）</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附件1 </w:t>
      </w:r>
      <w:r/>
    </w:p>
    <w:p>
      <w:pPr>
        <w:ind w:left="0" w:right="0" w:firstLine="2811"/>
        <w:spacing w:before="0"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分项报价表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7"/>
        <w:gridCol w:w="1285"/>
        <w:gridCol w:w="1516"/>
        <w:gridCol w:w="1442"/>
        <w:gridCol w:w="738"/>
        <w:gridCol w:w="1233"/>
        <w:gridCol w:w="1222"/>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 w:type="dxa"/>
            <w:vAlign w:val="center"/>
            <w:vMerge w:val="restart"/>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6"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2"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2"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29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6"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2"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合同签</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订后</w:t>
            </w:r>
            <w:r>
              <w:rPr>
                <w:rFonts w:ascii="SimSun" w:hAnsi="SimSun" w:eastAsia="SimSun" w:cs="SimSun"/>
                <w:color w:val="000000"/>
                <w:sz w:val="18"/>
                <w:u w:val="single"/>
              </w:rPr>
              <w:t xml:space="preserve">  </w:t>
            </w:r>
            <w:r>
              <w:rPr>
                <w:rFonts w:ascii="SimSun" w:hAnsi="SimSun" w:eastAsia="SimSun" w:cs="SimSun"/>
                <w:color w:val="000000"/>
                <w:sz w:val="18"/>
              </w:rPr>
              <w:t xml:space="preserve">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2"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6"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2"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2"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6"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2"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2"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6"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2"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2"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7"/>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2"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总报价（人民币：元）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2" w:type="dxa"/>
            <w:vAlign w:val="top"/>
            <w:textDirection w:val="lrTb"/>
            <w:noWrap w:val="false"/>
          </w:tcPr>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145"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shd w:val="nil" w:color="auto"/>
      </w:pPr>
      <w:r>
        <w:rPr>
          <w:rFonts w:ascii="SimSun" w:hAnsi="SimSun" w:eastAsia="SimSun" w:cs="SimSun"/>
          <w:b/>
          <w:color w:val="000000"/>
          <w:sz w:val="24"/>
          <w:highlight w:val="none"/>
        </w:rPr>
        <w:br w:type="page" w:clear="all"/>
      </w:r>
      <w:r>
        <w:rPr>
          <w:rFonts w:ascii="SimSun" w:hAnsi="SimSun" w:eastAsia="SimSun" w:cs="SimSun"/>
          <w:b/>
          <w:color w:val="000000"/>
          <w:sz w:val="24"/>
          <w:highlight w:val="none"/>
        </w:rPr>
      </w:r>
      <w:r/>
    </w:p>
    <w:p>
      <w:pPr>
        <w:ind w:left="0" w:right="0" w:firstLine="0"/>
        <w:jc w:val="center"/>
        <w:spacing w:before="0" w:after="0" w:line="360" w:lineRule="auto"/>
        <w:shd w:val="clear" w:color="ffffff" w:fill="ffffff"/>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附件2 </w:t>
      </w:r>
      <w:r/>
    </w:p>
    <w:p>
      <w:pPr>
        <w:ind w:left="0" w:right="0" w:firstLine="1968"/>
        <w:spacing w:before="0"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1968"/>
        <w:spacing w:before="0"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技术要求响应及偏离表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7"/>
        <w:gridCol w:w="2791"/>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1"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附件2-1  证明材料1，证明材料2，……</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1.供应商需对技术要求（未加斜体下划线的非实质性内容）逐条做出明确响应。</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2.如果磋商文件要求提供证明材料，供应商需将证明材料列于该表之下。</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rPr>
          <w:rFonts w:ascii="SimSun" w:hAnsi="SimSun" w:eastAsia="SimSun" w:cs="SimSun"/>
          <w:b/>
          <w:color w:val="000000"/>
          <w:sz w:val="24"/>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附件3</w:t>
      </w:r>
      <w:r/>
    </w:p>
    <w:p>
      <w:pPr>
        <w:ind w:left="0" w:right="0" w:firstLine="1687"/>
        <w:spacing w:before="0"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商务要求响应及偏离表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5"/>
        <w:gridCol w:w="293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33"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3"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3"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145"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附件3-1 证明材料1，证明材料2，……</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1.供应商需对商务要求（未加斜体下划线的非实质性内容）逐条做出明确响应。</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2.如果磋商文件要求提供证明材料，供应商需将证明材料列于该表之下。</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附件4 具备履行合同所必需的设备和专业技术能力的书面声明</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声  明 </w:t>
      </w:r>
      <w:r/>
    </w:p>
    <w:p>
      <w:pPr>
        <w:ind w:left="0" w:right="0" w:firstLine="492"/>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附件5</w:t>
      </w:r>
      <w:r>
        <w:rPr>
          <w:rFonts w:ascii="SimSun" w:hAnsi="SimSun" w:eastAsia="SimSun" w:cs="SimSun"/>
          <w:b/>
          <w:color w:val="000000"/>
          <w:sz w:val="24"/>
        </w:rPr>
        <w:t xml:space="preserve"> 参加政府采购活动前 3 年内在经营活动中没有重大违法记录的书面声明</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声  明</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492"/>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shd w:val="nil" w:color="auto"/>
      </w:pPr>
      <w:r>
        <w:rPr>
          <w:rFonts w:ascii="Times New Roman" w:hAnsi="Times New Roman" w:eastAsia="Times New Roman" w:cs="Times New Roman"/>
          <w:color w:val="000000"/>
          <w:sz w:val="20"/>
          <w:highlight w:val="none"/>
        </w:rPr>
        <w:br w:type="page" w:clear="all"/>
      </w:r>
      <w:r>
        <w:rPr>
          <w:rFonts w:ascii="Times New Roman" w:hAnsi="Times New Roman" w:eastAsia="Times New Roman" w:cs="Times New Roman"/>
          <w:color w:val="000000"/>
          <w:sz w:val="20"/>
          <w:highlight w:val="none"/>
        </w:rPr>
      </w:r>
      <w:r/>
    </w:p>
    <w:p>
      <w:pPr>
        <w:ind w:left="0" w:right="0" w:firstLine="0"/>
        <w:spacing w:before="0" w:after="0" w:line="360" w:lineRule="auto"/>
        <w:shd w:val="clear" w:color="ffffff" w:fill="ffffff"/>
        <w:rPr>
          <w:rFonts w:ascii="Times New Roman" w:hAnsi="Times New Roman" w:eastAsia="Times New Roman" w:cs="Times New Roman"/>
          <w:color w:val="000000"/>
          <w:sz w:val="20"/>
          <w:szCs w:val="20"/>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附件6                       </w:t>
      </w:r>
      <w:r/>
    </w:p>
    <w:p>
      <w:pPr>
        <w:ind w:left="0" w:right="0" w:firstLine="3614"/>
        <w:spacing w:before="0"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法人授权书</w:t>
      </w:r>
      <w:r/>
    </w:p>
    <w:p>
      <w:pPr>
        <w:ind w:left="0" w:right="0" w:firstLine="480"/>
        <w:jc w:val="both"/>
        <w:spacing w:before="0" w:after="0" w:line="360" w:lineRule="auto"/>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（供应商名称）授权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JSZC-32</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line="360" w:lineRule="auto"/>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line="360" w:lineRule="auto"/>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480"/>
        <w:jc w:val="both"/>
        <w:spacing w:before="0" w:after="0" w:line="360" w:lineRule="auto"/>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480"/>
        <w:jc w:val="both"/>
        <w:spacing w:before="0" w:after="0" w:line="360" w:lineRule="auto"/>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line="360" w:lineRule="auto"/>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480"/>
        <w:jc w:val="both"/>
        <w:spacing w:before="0" w:after="0" w:line="360" w:lineRule="auto"/>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480"/>
        <w:jc w:val="both"/>
        <w:spacing w:before="0" w:after="0" w:line="360" w:lineRule="auto"/>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附件7                        </w:t>
      </w:r>
      <w:r/>
    </w:p>
    <w:p>
      <w:pPr>
        <w:ind w:left="0" w:right="0" w:firstLine="3915"/>
        <w:jc w:val="both"/>
        <w:spacing w:before="0" w:after="29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磋商响应函</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致：泰州市海陵区政务服务中心</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根据贵方的JSZC-32</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w:t>
      </w:r>
      <w:r>
        <w:rPr>
          <w:rFonts w:ascii="SimSun" w:hAnsi="SimSun" w:eastAsia="SimSun" w:cs="SimSun"/>
          <w:color w:val="000000"/>
          <w:sz w:val="24"/>
        </w:rPr>
        <w:t xml:space="preserve">号磋商文件，正式授权下述签字人______(姓名)代表我方______________（供应商的名称），全权处理本次项目磋商的有关事宜。</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1.按磋商文件规定的各项要求，向买方提供所需货物、服务（包含与货物相关的服务及与服务相关的货物）。</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2.我们完全理解贵方不一定将合同授予最低报价的供应商。</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3.我们已详细审核全部磋商文件及其有效补充文件，我们知道必须放弃提出含糊不清或误解问题的权利。</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4.我们同意从规定的开标日期起遵循本响应文件，并在规定的磋商有效期期满之前均具有约束力。</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5.同意向贵方提供贵方可能另外要求的与磋商有关的任何证据或资料，并保证我方已提供和将要提供的文件是真实的、准确的。</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6.一旦我方成交,我方将根据磋商文件的规定，严格履行合同的责任和义务,并保证在磋商文件规定的时间完成项目，交付买方验收、使用。</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7.我方与本磋商有关的正式通讯地址为：</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供应商开户行：</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0" w:right="0" w:firstLine="24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附件8</w:t>
      </w:r>
      <w:r>
        <w:rPr>
          <w:rFonts w:ascii="SimSun" w:hAnsi="SimSun" w:eastAsia="SimSun" w:cs="SimSun"/>
          <w:b/>
          <w:color w:val="000000"/>
          <w:sz w:val="24"/>
        </w:rPr>
        <w:t xml:space="preserve"> </w:t>
      </w:r>
      <w:r/>
    </w:p>
    <w:p>
      <w:pPr>
        <w:ind w:left="0" w:right="0" w:firstLine="1205"/>
        <w:spacing w:before="0" w:after="29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中小微企业声明函</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本公司（联合体）郑重声明，根据《政府采购促进中小企业发展管理办法》(财库[2020]46号)的规定，本公司（联合体）参加泰州市海陵区政务服务中心组织的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采购编号为JSZC-32</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（项目名称）（分包号：**）</w:t>
      </w:r>
      <w:r>
        <w:rPr>
          <w:rFonts w:ascii="SimSun" w:hAnsi="SimSun" w:eastAsia="SimSun" w:cs="SimSun"/>
          <w:color w:val="000000"/>
          <w:sz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left="0" w:right="0" w:firstLine="60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17"/>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60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17"/>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25"/>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25"/>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360"/>
        <w:jc w:val="right"/>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540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24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3.供应商自行勾选承接企业的企业规模类型。</w:t>
        <w:br w:type="page" w:clear="all"/>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附件9 </w:t>
      </w:r>
      <w:r/>
    </w:p>
    <w:p>
      <w:pPr>
        <w:ind w:left="0" w:right="0" w:firstLine="904"/>
        <w:jc w:val="both"/>
        <w:spacing w:before="0" w:after="29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残疾人福利性单位声明函</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项目（分包号：**）采购活动由本单位提供服务。</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非专门面向中小微型企业采购的项目，供应商如不提供此声明函，价格将不做相应扣除。</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3.中标/成交供应商为残疾人福利性单位的，此声明函将随中标/成交结果同时公告，接受社会监督）</w:t>
      </w:r>
      <w:r/>
    </w:p>
    <w:p>
      <w:pPr>
        <w:ind w:left="0" w:right="0" w:firstLine="624"/>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624"/>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624"/>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624"/>
        <w:jc w:val="center"/>
        <w:spacing w:before="0" w:after="0" w:line="360" w:lineRule="auto"/>
        <w:shd w:val="clear" w:color="ffffff" w:fill="ffffff"/>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供应商全称（加盖CA电子公章）：</w:t>
      </w:r>
      <w:r/>
    </w:p>
    <w:p>
      <w:pPr>
        <w:ind w:left="0" w:right="0" w:firstLine="480"/>
        <w:jc w:val="center"/>
        <w:spacing w:before="0" w:after="0" w:line="360" w:lineRule="auto"/>
        <w:shd w:val="clear" w:color="ffffff" w:fill="ffffff"/>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附件10</w:t>
      </w:r>
      <w:r/>
    </w:p>
    <w:p>
      <w:pPr>
        <w:ind w:left="0" w:right="0" w:firstLine="1807"/>
        <w:spacing w:before="0" w:after="29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实质性要求响应及偏离表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609"/>
        <w:gridCol w:w="3317"/>
        <w:gridCol w:w="15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09"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技术要求和商务要求中的实质性要求</w:t>
            </w:r>
            <w:r>
              <w:rPr>
                <w:rFonts w:ascii="SimSun" w:hAnsi="SimSun" w:eastAsia="SimSun" w:cs="SimSun"/>
                <w:i/>
                <w:color w:val="000000"/>
                <w:sz w:val="24"/>
                <w:u w:val="single"/>
              </w:rPr>
              <w:t xml:space="preserve">（加斜体下划线内容）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附件11-1 证明材料1，证明材料2，……</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1.供应商必须对技术要求和商务要求中的实质性要求</w:t>
      </w:r>
      <w:r>
        <w:rPr>
          <w:rFonts w:ascii="SimSun" w:hAnsi="SimSun" w:eastAsia="SimSun" w:cs="SimSun"/>
          <w:i/>
          <w:color w:val="000000"/>
          <w:sz w:val="24"/>
          <w:u w:val="single"/>
        </w:rPr>
        <w:t xml:space="preserve">（加斜体下划线内容）</w:t>
      </w:r>
      <w:r>
        <w:rPr>
          <w:rFonts w:ascii="SimSun" w:hAnsi="SimSun" w:eastAsia="SimSun" w:cs="SimSun"/>
          <w:color w:val="000000"/>
          <w:sz w:val="24"/>
        </w:rPr>
        <w:t xml:space="preserve">逐条做出明确响应，否则做无效响应处理。</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2.如果磋商文件要求提供证明材料，供应商必须将证明材料列于该表之下。</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3.供应商未对实质性要求逐条作出明确响应的，或未按磋商文件要求提供证明材料的，该分包作无效响应处理。</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br w:type="page" w:clear="all"/>
      </w:r>
      <w:r>
        <w:rPr>
          <w:rFonts w:ascii="SimSun" w:hAnsi="SimSun" w:eastAsia="SimSun" w:cs="SimSun"/>
          <w:b/>
          <w:color w:val="000000"/>
          <w:sz w:val="32"/>
        </w:rPr>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360" w:lineRule="auto"/>
        <w:shd w:val="clear" w:color="ffffff" w:fill="ffffff"/>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4961"/>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spacing w:line="360" w:lineRule="auto"/>
      </w:pPr>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imSun">
    <w:panose1 w:val="02010600030101010101"/>
  </w:font>
  <w:font w:name="FangSong">
    <w:panose1 w:val="02010609060101010101"/>
  </w:font>
  <w:font w:name="SimHei">
    <w:panose1 w:val="02010609060101010101"/>
  </w:font>
  <w:font w:name="Times New Roman">
    <w:panose1 w:val="02020603050405020304"/>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b/>
        <w:sz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right"/>
      <w:pPr>
        <w:ind w:left="72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right"/>
      <w:pPr>
        <w:ind w:left="72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name w:val="Heading 1"/>
    <w:link w:val="641"/>
    <w:uiPriority w:val="9"/>
    <w:qFormat/>
    <w:pPr>
      <w:keepLines/>
      <w:keepNext/>
      <w:spacing w:before="480" w:after="200"/>
      <w:outlineLvl w:val="0"/>
    </w:pPr>
    <w:rPr>
      <w:rFonts w:ascii="Arial" w:hAnsi="Arial" w:eastAsia="Arial" w:cs="Arial"/>
      <w:sz w:val="40"/>
      <w:szCs w:val="40"/>
    </w:rPr>
  </w:style>
  <w:style w:type="character" w:styleId="641">
    <w:name w:val="Heading 1 Char"/>
    <w:link w:val="640"/>
    <w:uiPriority w:val="9"/>
    <w:rPr>
      <w:rFonts w:ascii="Arial" w:hAnsi="Arial" w:eastAsia="Arial" w:cs="Arial"/>
      <w:sz w:val="40"/>
      <w:szCs w:val="40"/>
    </w:rPr>
  </w:style>
  <w:style w:type="paragraph" w:styleId="642">
    <w:name w:val="Heading 2"/>
    <w:link w:val="643"/>
    <w:uiPriority w:val="9"/>
    <w:unhideWhenUsed/>
    <w:qFormat/>
    <w:pPr>
      <w:keepLines/>
      <w:keepNext/>
      <w:spacing w:before="360" w:after="200"/>
      <w:outlineLvl w:val="1"/>
    </w:pPr>
    <w:rPr>
      <w:rFonts w:ascii="Arial" w:hAnsi="Arial" w:eastAsia="Arial" w:cs="Arial"/>
      <w:sz w:val="34"/>
    </w:rPr>
  </w:style>
  <w:style w:type="character" w:styleId="643">
    <w:name w:val="Heading 2 Char"/>
    <w:link w:val="642"/>
    <w:uiPriority w:val="9"/>
    <w:rPr>
      <w:rFonts w:ascii="Arial" w:hAnsi="Arial" w:eastAsia="Arial" w:cs="Arial"/>
      <w:sz w:val="34"/>
    </w:rPr>
  </w:style>
  <w:style w:type="paragraph" w:styleId="644">
    <w:name w:val="Heading 3"/>
    <w:link w:val="645"/>
    <w:uiPriority w:val="9"/>
    <w:unhideWhenUsed/>
    <w:qFormat/>
    <w:pPr>
      <w:keepLines/>
      <w:keepNext/>
      <w:spacing w:before="320" w:after="200"/>
      <w:outlineLvl w:val="2"/>
    </w:pPr>
    <w:rPr>
      <w:rFonts w:ascii="Arial" w:hAnsi="Arial" w:eastAsia="Arial" w:cs="Arial"/>
      <w:sz w:val="30"/>
      <w:szCs w:val="30"/>
    </w:rPr>
  </w:style>
  <w:style w:type="character" w:styleId="645">
    <w:name w:val="Heading 3 Char"/>
    <w:link w:val="644"/>
    <w:uiPriority w:val="9"/>
    <w:rPr>
      <w:rFonts w:ascii="Arial" w:hAnsi="Arial" w:eastAsia="Arial" w:cs="Arial"/>
      <w:sz w:val="30"/>
      <w:szCs w:val="30"/>
    </w:rPr>
  </w:style>
  <w:style w:type="paragraph" w:styleId="646">
    <w:name w:val="Heading 4"/>
    <w:link w:val="647"/>
    <w:uiPriority w:val="9"/>
    <w:unhideWhenUsed/>
    <w:qFormat/>
    <w:pPr>
      <w:keepLines/>
      <w:keepNext/>
      <w:spacing w:before="320" w:after="200"/>
      <w:outlineLvl w:val="3"/>
    </w:pPr>
    <w:rPr>
      <w:rFonts w:ascii="Arial" w:hAnsi="Arial" w:eastAsia="Arial" w:cs="Arial"/>
      <w:b/>
      <w:bCs/>
      <w:sz w:val="26"/>
      <w:szCs w:val="26"/>
    </w:rPr>
  </w:style>
  <w:style w:type="character" w:styleId="647">
    <w:name w:val="Heading 4 Char"/>
    <w:link w:val="646"/>
    <w:uiPriority w:val="9"/>
    <w:rPr>
      <w:rFonts w:ascii="Arial" w:hAnsi="Arial" w:eastAsia="Arial" w:cs="Arial"/>
      <w:b/>
      <w:bCs/>
      <w:sz w:val="26"/>
      <w:szCs w:val="26"/>
    </w:rPr>
  </w:style>
  <w:style w:type="paragraph" w:styleId="648">
    <w:name w:val="Heading 5"/>
    <w:link w:val="649"/>
    <w:uiPriority w:val="9"/>
    <w:unhideWhenUsed/>
    <w:qFormat/>
    <w:pPr>
      <w:keepLines/>
      <w:keepNext/>
      <w:spacing w:before="320" w:after="200"/>
      <w:outlineLvl w:val="4"/>
    </w:pPr>
    <w:rPr>
      <w:rFonts w:ascii="Arial" w:hAnsi="Arial" w:eastAsia="Arial" w:cs="Arial"/>
      <w:b/>
      <w:bCs/>
      <w:sz w:val="24"/>
      <w:szCs w:val="24"/>
    </w:rPr>
  </w:style>
  <w:style w:type="character" w:styleId="649">
    <w:name w:val="Heading 5 Char"/>
    <w:link w:val="648"/>
    <w:uiPriority w:val="9"/>
    <w:rPr>
      <w:rFonts w:ascii="Arial" w:hAnsi="Arial" w:eastAsia="Arial" w:cs="Arial"/>
      <w:b/>
      <w:bCs/>
      <w:sz w:val="24"/>
      <w:szCs w:val="24"/>
    </w:rPr>
  </w:style>
  <w:style w:type="paragraph" w:styleId="650">
    <w:name w:val="Heading 6"/>
    <w:link w:val="651"/>
    <w:uiPriority w:val="9"/>
    <w:unhideWhenUsed/>
    <w:qFormat/>
    <w:pPr>
      <w:keepLines/>
      <w:keepNext/>
      <w:spacing w:before="320" w:after="200"/>
      <w:outlineLvl w:val="5"/>
    </w:pPr>
    <w:rPr>
      <w:rFonts w:ascii="Arial" w:hAnsi="Arial" w:eastAsia="Arial" w:cs="Arial"/>
      <w:b/>
      <w:bCs/>
      <w:sz w:val="22"/>
      <w:szCs w:val="22"/>
    </w:rPr>
  </w:style>
  <w:style w:type="character" w:styleId="651">
    <w:name w:val="Heading 6 Char"/>
    <w:link w:val="650"/>
    <w:uiPriority w:val="9"/>
    <w:rPr>
      <w:rFonts w:ascii="Arial" w:hAnsi="Arial" w:eastAsia="Arial" w:cs="Arial"/>
      <w:b/>
      <w:bCs/>
      <w:sz w:val="22"/>
      <w:szCs w:val="22"/>
    </w:rPr>
  </w:style>
  <w:style w:type="paragraph" w:styleId="652">
    <w:name w:val="Heading 7"/>
    <w:link w:val="653"/>
    <w:uiPriority w:val="9"/>
    <w:unhideWhenUsed/>
    <w:qFormat/>
    <w:pPr>
      <w:keepLines/>
      <w:keepNext/>
      <w:spacing w:before="320" w:after="200"/>
      <w:outlineLvl w:val="6"/>
    </w:pPr>
    <w:rPr>
      <w:rFonts w:ascii="Arial" w:hAnsi="Arial" w:eastAsia="Arial" w:cs="Arial"/>
      <w:b/>
      <w:bCs/>
      <w:i/>
      <w:iCs/>
      <w:sz w:val="22"/>
      <w:szCs w:val="22"/>
    </w:rPr>
  </w:style>
  <w:style w:type="character" w:styleId="653">
    <w:name w:val="Heading 7 Char"/>
    <w:link w:val="652"/>
    <w:uiPriority w:val="9"/>
    <w:rPr>
      <w:rFonts w:ascii="Arial" w:hAnsi="Arial" w:eastAsia="Arial" w:cs="Arial"/>
      <w:b/>
      <w:bCs/>
      <w:i/>
      <w:iCs/>
      <w:sz w:val="22"/>
      <w:szCs w:val="22"/>
    </w:rPr>
  </w:style>
  <w:style w:type="paragraph" w:styleId="654">
    <w:name w:val="Heading 8"/>
    <w:link w:val="655"/>
    <w:uiPriority w:val="9"/>
    <w:unhideWhenUsed/>
    <w:qFormat/>
    <w:pPr>
      <w:keepLines/>
      <w:keepNext/>
      <w:spacing w:before="320" w:after="200"/>
      <w:outlineLvl w:val="7"/>
    </w:pPr>
    <w:rPr>
      <w:rFonts w:ascii="Arial" w:hAnsi="Arial" w:eastAsia="Arial" w:cs="Arial"/>
      <w:i/>
      <w:iCs/>
      <w:sz w:val="22"/>
      <w:szCs w:val="22"/>
    </w:rPr>
  </w:style>
  <w:style w:type="character" w:styleId="655">
    <w:name w:val="Heading 8 Char"/>
    <w:link w:val="654"/>
    <w:uiPriority w:val="9"/>
    <w:rPr>
      <w:rFonts w:ascii="Arial" w:hAnsi="Arial" w:eastAsia="Arial" w:cs="Arial"/>
      <w:i/>
      <w:iCs/>
      <w:sz w:val="22"/>
      <w:szCs w:val="22"/>
    </w:rPr>
  </w:style>
  <w:style w:type="paragraph" w:styleId="656">
    <w:name w:val="Heading 9"/>
    <w:link w:val="657"/>
    <w:uiPriority w:val="9"/>
    <w:unhideWhenUsed/>
    <w:qFormat/>
    <w:pPr>
      <w:keepLines/>
      <w:keepNext/>
      <w:spacing w:before="320" w:after="200"/>
      <w:outlineLvl w:val="8"/>
    </w:pPr>
    <w:rPr>
      <w:rFonts w:ascii="Arial" w:hAnsi="Arial" w:eastAsia="Arial" w:cs="Arial"/>
      <w:i/>
      <w:iCs/>
      <w:sz w:val="21"/>
      <w:szCs w:val="21"/>
    </w:rPr>
  </w:style>
  <w:style w:type="character" w:styleId="657">
    <w:name w:val="Heading 9 Char"/>
    <w:link w:val="656"/>
    <w:uiPriority w:val="9"/>
    <w:rPr>
      <w:rFonts w:ascii="Arial" w:hAnsi="Arial" w:eastAsia="Arial" w:cs="Arial"/>
      <w:i/>
      <w:iCs/>
      <w:sz w:val="21"/>
      <w:szCs w:val="21"/>
    </w:rPr>
  </w:style>
  <w:style w:type="paragraph" w:styleId="658">
    <w:name w:val="List Paragraph"/>
    <w:uiPriority w:val="34"/>
    <w:qFormat/>
    <w:pPr>
      <w:contextualSpacing/>
      <w:ind w:left="720"/>
    </w:pPr>
  </w:style>
  <w:style w:type="paragraph" w:styleId="659">
    <w:name w:val="No Spacing"/>
    <w:uiPriority w:val="1"/>
    <w:qFormat/>
    <w:pPr>
      <w:spacing w:before="0" w:after="0" w:line="240" w:lineRule="auto"/>
    </w:pPr>
  </w:style>
  <w:style w:type="paragraph" w:styleId="660">
    <w:name w:val="Title"/>
    <w:link w:val="661"/>
    <w:uiPriority w:val="10"/>
    <w:qFormat/>
    <w:pPr>
      <w:contextualSpacing/>
      <w:spacing w:before="300" w:after="200"/>
    </w:pPr>
    <w:rPr>
      <w:sz w:val="48"/>
      <w:szCs w:val="48"/>
    </w:rPr>
  </w:style>
  <w:style w:type="character" w:styleId="661">
    <w:name w:val="Title Char"/>
    <w:link w:val="660"/>
    <w:uiPriority w:val="10"/>
    <w:rPr>
      <w:sz w:val="48"/>
      <w:szCs w:val="48"/>
    </w:rPr>
  </w:style>
  <w:style w:type="paragraph" w:styleId="662">
    <w:name w:val="Subtitle"/>
    <w:link w:val="663"/>
    <w:uiPriority w:val="11"/>
    <w:qFormat/>
    <w:pPr>
      <w:spacing w:before="200" w:after="200"/>
    </w:pPr>
    <w:rPr>
      <w:sz w:val="24"/>
      <w:szCs w:val="24"/>
    </w:rPr>
  </w:style>
  <w:style w:type="character" w:styleId="663">
    <w:name w:val="Subtitle Char"/>
    <w:link w:val="662"/>
    <w:uiPriority w:val="11"/>
    <w:rPr>
      <w:sz w:val="24"/>
      <w:szCs w:val="24"/>
    </w:rPr>
  </w:style>
  <w:style w:type="paragraph" w:styleId="664">
    <w:name w:val="Quote"/>
    <w:link w:val="665"/>
    <w:uiPriority w:val="29"/>
    <w:qFormat/>
    <w:pPr>
      <w:ind w:left="720" w:right="720"/>
    </w:pPr>
    <w:rPr>
      <w:i/>
    </w:rPr>
  </w:style>
  <w:style w:type="character" w:styleId="665">
    <w:name w:val="Quote Char"/>
    <w:link w:val="664"/>
    <w:uiPriority w:val="29"/>
    <w:rPr>
      <w:i/>
    </w:rPr>
  </w:style>
  <w:style w:type="paragraph" w:styleId="666">
    <w:name w:val="Intense Quote"/>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name w:val="Intense Quote Char"/>
    <w:link w:val="666"/>
    <w:uiPriority w:val="30"/>
    <w:rPr>
      <w:i/>
    </w:rPr>
  </w:style>
  <w:style w:type="paragraph" w:styleId="668">
    <w:name w:val="Header"/>
    <w:link w:val="669"/>
    <w:uiPriority w:val="99"/>
    <w:unhideWhenUsed/>
    <w:pPr>
      <w:spacing w:after="0" w:line="240" w:lineRule="auto"/>
      <w:tabs>
        <w:tab w:val="center" w:pos="7143" w:leader="none"/>
        <w:tab w:val="right" w:pos="14287" w:leader="none"/>
      </w:tabs>
    </w:pPr>
  </w:style>
  <w:style w:type="character" w:styleId="669">
    <w:name w:val="Header Char"/>
    <w:link w:val="668"/>
    <w:uiPriority w:val="99"/>
  </w:style>
  <w:style w:type="paragraph" w:styleId="670">
    <w:name w:val="Footer"/>
    <w:link w:val="673"/>
    <w:uiPriority w:val="99"/>
    <w:unhideWhenUsed/>
    <w:pPr>
      <w:spacing w:after="0" w:line="240" w:lineRule="auto"/>
      <w:tabs>
        <w:tab w:val="center" w:pos="7143" w:leader="none"/>
        <w:tab w:val="right" w:pos="14287" w:leader="none"/>
      </w:tabs>
    </w:pPr>
  </w:style>
  <w:style w:type="character" w:styleId="671">
    <w:name w:val="Footer Char"/>
    <w:link w:val="670"/>
    <w:uiPriority w:val="99"/>
  </w:style>
  <w:style w:type="paragraph" w:styleId="672">
    <w:name w:val="Caption"/>
    <w:uiPriority w:val="35"/>
    <w:semiHidden/>
    <w:unhideWhenUsed/>
    <w:qFormat/>
    <w:pPr>
      <w:spacing w:line="276" w:lineRule="auto"/>
    </w:pPr>
    <w:rPr>
      <w:b/>
      <w:bCs/>
      <w:color w:val="4f81bd" w:themeColor="accent1"/>
      <w:sz w:val="18"/>
      <w:szCs w:val="18"/>
    </w:rPr>
  </w:style>
  <w:style w:type="character" w:styleId="673">
    <w:name w:val="Caption Char"/>
    <w:basedOn w:val="672"/>
    <w:link w:val="670"/>
    <w:uiPriority w:val="99"/>
  </w:style>
  <w:style w:type="table" w:styleId="6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0">
    <w:name w:val="Hyperlink"/>
    <w:uiPriority w:val="99"/>
    <w:unhideWhenUsed/>
    <w:rPr>
      <w:color w:val="0000ff" w:themeColor="hyperlink"/>
      <w:u w:val="single"/>
    </w:rPr>
  </w:style>
  <w:style w:type="paragraph" w:styleId="801">
    <w:name w:val="footnote text"/>
    <w:link w:val="802"/>
    <w:uiPriority w:val="99"/>
    <w:semiHidden/>
    <w:unhideWhenUsed/>
    <w:pPr>
      <w:spacing w:after="40" w:line="240" w:lineRule="auto"/>
    </w:pPr>
    <w:rPr>
      <w:sz w:val="18"/>
    </w:rPr>
  </w:style>
  <w:style w:type="character" w:styleId="802">
    <w:name w:val="Footnote Text Char"/>
    <w:link w:val="801"/>
    <w:uiPriority w:val="99"/>
    <w:rPr>
      <w:sz w:val="18"/>
    </w:rPr>
  </w:style>
  <w:style w:type="character" w:styleId="803">
    <w:name w:val="footnote reference"/>
    <w:uiPriority w:val="99"/>
    <w:unhideWhenUsed/>
    <w:rPr>
      <w:vertAlign w:val="superscript"/>
    </w:rPr>
  </w:style>
  <w:style w:type="paragraph" w:styleId="804">
    <w:name w:val="endnote text"/>
    <w:link w:val="805"/>
    <w:uiPriority w:val="99"/>
    <w:semiHidden/>
    <w:unhideWhenUsed/>
    <w:pPr>
      <w:spacing w:after="0" w:line="240" w:lineRule="auto"/>
    </w:pPr>
    <w:rPr>
      <w:sz w:val="20"/>
    </w:rPr>
  </w:style>
  <w:style w:type="character" w:styleId="805">
    <w:name w:val="Endnote Text Char"/>
    <w:link w:val="804"/>
    <w:uiPriority w:val="99"/>
    <w:rPr>
      <w:sz w:val="20"/>
    </w:rPr>
  </w:style>
  <w:style w:type="character" w:styleId="806">
    <w:name w:val="endnote reference"/>
    <w:uiPriority w:val="99"/>
    <w:semiHidden/>
    <w:unhideWhenUsed/>
    <w:rPr>
      <w:vertAlign w:val="superscript"/>
    </w:rPr>
  </w:style>
  <w:style w:type="paragraph" w:styleId="807">
    <w:name w:val="toc 1"/>
    <w:uiPriority w:val="39"/>
    <w:unhideWhenUsed/>
    <w:pPr>
      <w:ind w:left="0" w:right="0" w:firstLine="0"/>
      <w:spacing w:after="57"/>
    </w:pPr>
  </w:style>
  <w:style w:type="paragraph" w:styleId="808">
    <w:name w:val="toc 2"/>
    <w:uiPriority w:val="39"/>
    <w:unhideWhenUsed/>
    <w:pPr>
      <w:ind w:left="283" w:right="0" w:firstLine="0"/>
      <w:spacing w:after="57"/>
    </w:pPr>
  </w:style>
  <w:style w:type="paragraph" w:styleId="809">
    <w:name w:val="toc 3"/>
    <w:uiPriority w:val="39"/>
    <w:unhideWhenUsed/>
    <w:pPr>
      <w:ind w:left="567" w:right="0" w:firstLine="0"/>
      <w:spacing w:after="57"/>
    </w:pPr>
  </w:style>
  <w:style w:type="paragraph" w:styleId="810">
    <w:name w:val="toc 4"/>
    <w:uiPriority w:val="39"/>
    <w:unhideWhenUsed/>
    <w:pPr>
      <w:ind w:left="850" w:right="0" w:firstLine="0"/>
      <w:spacing w:after="57"/>
    </w:pPr>
  </w:style>
  <w:style w:type="paragraph" w:styleId="811">
    <w:name w:val="toc 5"/>
    <w:uiPriority w:val="39"/>
    <w:unhideWhenUsed/>
    <w:pPr>
      <w:ind w:left="1134" w:right="0" w:firstLine="0"/>
      <w:spacing w:after="57"/>
    </w:pPr>
  </w:style>
  <w:style w:type="paragraph" w:styleId="812">
    <w:name w:val="toc 6"/>
    <w:uiPriority w:val="39"/>
    <w:unhideWhenUsed/>
    <w:pPr>
      <w:ind w:left="1417" w:right="0" w:firstLine="0"/>
      <w:spacing w:after="57"/>
    </w:pPr>
  </w:style>
  <w:style w:type="paragraph" w:styleId="813">
    <w:name w:val="toc 7"/>
    <w:uiPriority w:val="39"/>
    <w:unhideWhenUsed/>
    <w:pPr>
      <w:ind w:left="1701" w:right="0" w:firstLine="0"/>
      <w:spacing w:after="57"/>
    </w:pPr>
  </w:style>
  <w:style w:type="paragraph" w:styleId="814">
    <w:name w:val="toc 8"/>
    <w:uiPriority w:val="39"/>
    <w:unhideWhenUsed/>
    <w:pPr>
      <w:ind w:left="1984" w:right="0" w:firstLine="0"/>
      <w:spacing w:after="57"/>
    </w:pPr>
  </w:style>
  <w:style w:type="paragraph" w:styleId="815">
    <w:name w:val="toc 9"/>
    <w:uiPriority w:val="39"/>
    <w:unhideWhenUsed/>
    <w:pPr>
      <w:ind w:left="2268" w:right="0" w:firstLine="0"/>
      <w:spacing w:after="57"/>
    </w:pPr>
  </w:style>
  <w:style w:type="paragraph" w:styleId="816">
    <w:name w:val="TOC Heading"/>
    <w:uiPriority w:val="39"/>
    <w:unhideWhenUsed/>
  </w:style>
  <w:style w:type="paragraph" w:styleId="817">
    <w:name w:val="table of figures"/>
    <w:uiPriority w:val="99"/>
    <w:unhideWhenUsed/>
    <w:pPr>
      <w:spacing w:after="0" w:afterAutospacing="0"/>
    </w:pPr>
  </w:style>
  <w:style w:type="character" w:styleId="818" w:default="1">
    <w:name w:val="Default Paragraph Font"/>
    <w:uiPriority w:val="1"/>
    <w:semiHidden/>
    <w:unhideWhenUsed/>
  </w:style>
  <w:style w:type="numbering" w:styleId="819" w:default="1">
    <w:name w:val="No List"/>
    <w:uiPriority w:val="99"/>
    <w:semiHidden/>
    <w:unhideWhenUsed/>
  </w:style>
  <w:style w:type="paragraph" w:styleId="820" w:default="1">
    <w:name w:val="Normal"/>
    <w:qFormat/>
  </w:style>
  <w:style w:type="table" w:styleId="8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阚允文</cp:lastModifiedBy>
  <cp:revision>6</cp:revision>
  <dcterms:created xsi:type="dcterms:W3CDTF">2025-11-11T08:26:49Z</dcterms:created>
  <dcterms:modified xsi:type="dcterms:W3CDTF">2025-11-13T03:18:41Z</dcterms:modified>
</cp:coreProperties>
</file>